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29871" w14:textId="2C7C114E" w:rsidR="00236AEE" w:rsidRPr="00236AEE" w:rsidRDefault="00236AEE" w:rsidP="00236AEE">
      <w:pPr>
        <w:tabs>
          <w:tab w:val="right" w:pos="20000"/>
        </w:tabs>
        <w:spacing w:after="0"/>
        <w:rPr>
          <w:rFonts w:ascii="Arial" w:eastAsia="MS Mincho" w:hAnsi="Arial" w:cs="Arial"/>
          <w:b/>
          <w:noProof/>
          <w:sz w:val="24"/>
          <w:szCs w:val="24"/>
        </w:rPr>
      </w:pPr>
      <w:bookmarkStart w:id="0" w:name="OLE_LINK15"/>
      <w:bookmarkStart w:id="1" w:name="_Hlk84666062"/>
      <w:r w:rsidRPr="00236AEE">
        <w:rPr>
          <w:rFonts w:ascii="Arial" w:eastAsia="MS Mincho" w:hAnsi="Arial"/>
          <w:b/>
          <w:noProof/>
          <w:sz w:val="24"/>
        </w:rPr>
        <w:t>3GPP TSG-</w:t>
      </w:r>
      <w:r w:rsidRPr="00236AEE">
        <w:rPr>
          <w:rFonts w:ascii="Arial" w:eastAsia="MS Mincho" w:hAnsi="Arial"/>
          <w:b/>
          <w:noProof/>
          <w:sz w:val="24"/>
          <w:lang w:eastAsia="zh-CN"/>
        </w:rPr>
        <w:t>RAN WG4</w:t>
      </w:r>
      <w:r w:rsidRPr="00236AEE">
        <w:rPr>
          <w:rFonts w:ascii="Arial" w:eastAsia="MS Mincho" w:hAnsi="Arial"/>
          <w:b/>
          <w:noProof/>
          <w:sz w:val="24"/>
        </w:rPr>
        <w:t xml:space="preserve"> Meetin</w:t>
      </w:r>
      <w:r w:rsidRPr="00236AEE">
        <w:rPr>
          <w:rFonts w:ascii="Arial" w:eastAsia="MS Mincho" w:hAnsi="Arial"/>
          <w:b/>
          <w:noProof/>
          <w:sz w:val="24"/>
          <w:lang w:eastAsia="zh-CN"/>
        </w:rPr>
        <w:t>g #104-e</w:t>
      </w:r>
      <w:r w:rsidRPr="00236AEE">
        <w:rPr>
          <w:rFonts w:ascii="Arial" w:eastAsia="MS Mincho" w:hAnsi="Arial" w:cs="Arial"/>
          <w:b/>
          <w:noProof/>
          <w:sz w:val="24"/>
          <w:szCs w:val="24"/>
        </w:rPr>
        <w:tab/>
      </w:r>
      <w:r w:rsidR="00824BA0">
        <w:rPr>
          <w:rFonts w:ascii="Arial" w:hAnsi="Arial" w:cs="Arial"/>
          <w:b/>
          <w:noProof/>
          <w:sz w:val="24"/>
          <w:szCs w:val="24"/>
          <w:lang w:eastAsia="zh-CN"/>
        </w:rPr>
        <w:t>R4-2213859</w:t>
      </w:r>
      <w:bookmarkStart w:id="2" w:name="_GoBack"/>
      <w:bookmarkEnd w:id="2"/>
    </w:p>
    <w:bookmarkEnd w:id="0"/>
    <w:p w14:paraId="5ACF035C" w14:textId="77777777" w:rsidR="00236AEE" w:rsidRPr="00236AEE" w:rsidRDefault="00236AEE" w:rsidP="00236AEE">
      <w:pPr>
        <w:spacing w:after="120"/>
        <w:outlineLvl w:val="0"/>
        <w:rPr>
          <w:rFonts w:ascii="Arial" w:eastAsia="MS Mincho" w:hAnsi="Arial"/>
          <w:b/>
          <w:noProof/>
          <w:sz w:val="24"/>
        </w:rPr>
      </w:pPr>
      <w:r w:rsidRPr="00236AEE">
        <w:rPr>
          <w:rFonts w:ascii="Arial" w:eastAsia="MS Mincho" w:hAnsi="Arial"/>
          <w:b/>
          <w:noProof/>
          <w:sz w:val="24"/>
        </w:rPr>
        <w:t>Electronic Meeting, 15</w:t>
      </w:r>
      <w:r w:rsidRPr="00236AEE">
        <w:rPr>
          <w:rFonts w:ascii="Arial" w:eastAsia="MS Mincho" w:hAnsi="Arial"/>
          <w:b/>
          <w:noProof/>
          <w:sz w:val="24"/>
          <w:vertAlign w:val="superscript"/>
        </w:rPr>
        <w:t>th</w:t>
      </w:r>
      <w:r w:rsidRPr="00236AEE">
        <w:rPr>
          <w:rFonts w:ascii="Arial" w:eastAsia="MS Mincho" w:hAnsi="Arial"/>
          <w:b/>
          <w:noProof/>
          <w:sz w:val="24"/>
        </w:rPr>
        <w:t xml:space="preserve"> – 26</w:t>
      </w:r>
      <w:r w:rsidRPr="00236AEE">
        <w:rPr>
          <w:rFonts w:ascii="Arial" w:eastAsia="MS Mincho" w:hAnsi="Arial"/>
          <w:b/>
          <w:noProof/>
          <w:sz w:val="24"/>
          <w:vertAlign w:val="superscript"/>
        </w:rPr>
        <w:t>th</w:t>
      </w:r>
      <w:r w:rsidRPr="00236AEE">
        <w:rPr>
          <w:rFonts w:ascii="Arial" w:eastAsia="MS Mincho" w:hAnsi="Arial"/>
          <w:b/>
          <w:noProof/>
          <w:sz w:val="24"/>
        </w:rPr>
        <w:t xml:space="preserve"> Aug, 2022</w:t>
      </w:r>
    </w:p>
    <w:bookmarkEnd w:id="1"/>
    <w:p w14:paraId="68DEAB42" w14:textId="6A5B0174" w:rsidR="00D46BD4" w:rsidRPr="00236AEE" w:rsidRDefault="00D46BD4" w:rsidP="00D46BD4">
      <w:pPr>
        <w:pStyle w:val="ab"/>
        <w:jc w:val="both"/>
        <w:rPr>
          <w:rFonts w:eastAsia="宋体"/>
          <w:i w:val="0"/>
          <w:noProof w:val="0"/>
          <w:sz w:val="24"/>
        </w:rPr>
      </w:pPr>
    </w:p>
    <w:p w14:paraId="415CEB94" w14:textId="66B95060"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7E0D78" w:rsidRPr="007E0D78">
        <w:rPr>
          <w:rFonts w:ascii="Arial" w:hAnsi="Arial"/>
          <w:sz w:val="24"/>
          <w:lang w:val="en-US" w:eastAsia="zh-CN"/>
        </w:rPr>
        <w:t>Discussion on NTN demod general</w:t>
      </w:r>
    </w:p>
    <w:p w14:paraId="24C6561F"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7E2B66E" w14:textId="2A618D8E"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7E0D78">
        <w:rPr>
          <w:rFonts w:ascii="Arial" w:hAnsi="Arial"/>
          <w:sz w:val="24"/>
          <w:lang w:val="pt-BR"/>
        </w:rPr>
        <w:t>9.1</w:t>
      </w:r>
      <w:r w:rsidR="00236AEE">
        <w:rPr>
          <w:rFonts w:ascii="Arial" w:hAnsi="Arial"/>
          <w:sz w:val="24"/>
          <w:lang w:val="pt-BR"/>
        </w:rPr>
        <w:t>1</w:t>
      </w:r>
      <w:r w:rsidR="007E0D78">
        <w:rPr>
          <w:rFonts w:ascii="Arial" w:hAnsi="Arial"/>
          <w:sz w:val="24"/>
          <w:lang w:val="pt-BR"/>
        </w:rPr>
        <w:t>.</w:t>
      </w:r>
      <w:r w:rsidR="00236AEE">
        <w:rPr>
          <w:rFonts w:ascii="Arial" w:hAnsi="Arial"/>
          <w:sz w:val="24"/>
          <w:lang w:val="pt-BR"/>
        </w:rPr>
        <w:t>7</w:t>
      </w:r>
      <w:r w:rsidR="006C6F4B">
        <w:rPr>
          <w:rFonts w:ascii="Arial" w:hAnsi="Arial"/>
          <w:sz w:val="24"/>
          <w:lang w:val="pt-BR"/>
        </w:rPr>
        <w:t>.</w:t>
      </w:r>
      <w:r w:rsidR="00313D24">
        <w:rPr>
          <w:rFonts w:ascii="Arial" w:hAnsi="Arial"/>
          <w:sz w:val="24"/>
          <w:lang w:val="pt-BR"/>
        </w:rPr>
        <w:t>1</w:t>
      </w:r>
    </w:p>
    <w:p w14:paraId="7F7D8BA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E626806"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0AD73EDE" w14:textId="6E4D4EBC" w:rsidR="00CD4EA3" w:rsidRPr="004B565E" w:rsidRDefault="00CD4EA3" w:rsidP="00CD4EA3">
      <w:pPr>
        <w:rPr>
          <w:lang w:val="en-US" w:eastAsia="zh-CN"/>
        </w:rPr>
      </w:pPr>
      <w:r>
        <w:rPr>
          <w:lang w:eastAsia="zh-CN"/>
        </w:rPr>
        <w:t>During RAN#10</w:t>
      </w:r>
      <w:r w:rsidR="00236AEE">
        <w:rPr>
          <w:lang w:eastAsia="zh-CN"/>
        </w:rPr>
        <w:t>3</w:t>
      </w:r>
      <w:r>
        <w:rPr>
          <w:lang w:eastAsia="zh-CN"/>
        </w:rPr>
        <w:t xml:space="preserve">-e meeting, </w:t>
      </w:r>
      <w:r w:rsidR="00C10C57" w:rsidRPr="00C10C57">
        <w:rPr>
          <w:lang w:eastAsia="zh-CN"/>
        </w:rPr>
        <w:t xml:space="preserve">WF </w:t>
      </w:r>
      <w:r w:rsidR="004A067A">
        <w:rPr>
          <w:lang w:eastAsia="zh-CN"/>
        </w:rPr>
        <w:fldChar w:fldCharType="begin"/>
      </w:r>
      <w:r w:rsidR="004A067A">
        <w:rPr>
          <w:lang w:eastAsia="zh-CN"/>
        </w:rPr>
        <w:instrText xml:space="preserve"> REF _Ref95377570 \r \h </w:instrText>
      </w:r>
      <w:r w:rsidR="004A067A">
        <w:rPr>
          <w:lang w:eastAsia="zh-CN"/>
        </w:rPr>
      </w:r>
      <w:r w:rsidR="004A067A">
        <w:rPr>
          <w:lang w:eastAsia="zh-CN"/>
        </w:rPr>
        <w:fldChar w:fldCharType="separate"/>
      </w:r>
      <w:r w:rsidR="004A067A">
        <w:rPr>
          <w:lang w:eastAsia="zh-CN"/>
        </w:rPr>
        <w:t>[1]</w:t>
      </w:r>
      <w:r w:rsidR="004A067A">
        <w:rPr>
          <w:lang w:eastAsia="zh-CN"/>
        </w:rPr>
        <w:fldChar w:fldCharType="end"/>
      </w:r>
      <w:r w:rsidR="00C10C57" w:rsidRPr="00C10C57">
        <w:rPr>
          <w:lang w:eastAsia="zh-CN"/>
        </w:rPr>
        <w:t xml:space="preserve"> on </w:t>
      </w:r>
      <w:r w:rsidR="00236AEE" w:rsidRPr="00236AEE">
        <w:rPr>
          <w:lang w:eastAsia="zh-CN"/>
        </w:rPr>
        <w:t>NTN demodulation requirements – general and PDSCH was approved</w:t>
      </w:r>
      <w:r w:rsidRPr="004B565E">
        <w:rPr>
          <w:lang w:eastAsia="zh-CN"/>
        </w:rPr>
        <w:t xml:space="preserve">. </w:t>
      </w:r>
      <w:r w:rsidRPr="004B565E">
        <w:rPr>
          <w:lang w:val="en-US" w:eastAsia="zh-CN"/>
        </w:rPr>
        <w:t xml:space="preserve">In this contribution, we share our views about </w:t>
      </w:r>
      <w:r w:rsidR="003A44C5">
        <w:rPr>
          <w:rFonts w:hint="eastAsia"/>
          <w:lang w:val="en-US" w:eastAsia="zh-CN"/>
        </w:rPr>
        <w:t>ge</w:t>
      </w:r>
      <w:r w:rsidR="003A44C5">
        <w:rPr>
          <w:lang w:val="en-US" w:eastAsia="zh-CN"/>
        </w:rPr>
        <w:t xml:space="preserve">neral issues for </w:t>
      </w:r>
      <w:r>
        <w:rPr>
          <w:lang w:val="en-US" w:eastAsia="zh-CN"/>
        </w:rPr>
        <w:t xml:space="preserve">NTN </w:t>
      </w:r>
      <w:r w:rsidRPr="007009CC">
        <w:rPr>
          <w:lang w:val="en-US" w:eastAsia="zh-CN"/>
        </w:rPr>
        <w:t>demodulation requirements</w:t>
      </w:r>
      <w:r w:rsidRPr="004B565E">
        <w:rPr>
          <w:lang w:val="en-US" w:eastAsia="zh-CN"/>
        </w:rPr>
        <w:t>.</w:t>
      </w:r>
    </w:p>
    <w:p w14:paraId="7CDB4715" w14:textId="2077D508" w:rsidR="005B0251" w:rsidRDefault="003B1587" w:rsidP="005B0251">
      <w:pPr>
        <w:pStyle w:val="1"/>
        <w:spacing w:before="0" w:after="0"/>
        <w:rPr>
          <w:lang w:val="en-US" w:eastAsia="zh-CN"/>
        </w:rPr>
      </w:pPr>
      <w:r w:rsidRPr="006551CC">
        <w:rPr>
          <w:rFonts w:hint="eastAsia"/>
          <w:lang w:val="en-US" w:eastAsia="zh-CN"/>
        </w:rPr>
        <w:t>D</w:t>
      </w:r>
      <w:r w:rsidRPr="006551CC">
        <w:rPr>
          <w:lang w:val="en-US" w:eastAsia="zh-CN"/>
        </w:rPr>
        <w:t>iscussion</w:t>
      </w:r>
    </w:p>
    <w:p w14:paraId="30345B2A" w14:textId="1D4AAF00" w:rsidR="00047819" w:rsidRDefault="00047819" w:rsidP="00047819">
      <w:pPr>
        <w:pStyle w:val="2"/>
        <w:rPr>
          <w:lang w:val="en-US" w:eastAsia="zh-CN"/>
        </w:rPr>
      </w:pPr>
      <w:r w:rsidRPr="00047819">
        <w:rPr>
          <w:lang w:val="en-US" w:eastAsia="zh-CN"/>
        </w:rPr>
        <w:t>Scenarios for NTN demodulation requirements</w:t>
      </w:r>
    </w:p>
    <w:tbl>
      <w:tblPr>
        <w:tblStyle w:val="ae"/>
        <w:tblW w:w="0" w:type="auto"/>
        <w:tblLook w:val="04A0" w:firstRow="1" w:lastRow="0" w:firstColumn="1" w:lastColumn="0" w:noHBand="0" w:noVBand="1"/>
      </w:tblPr>
      <w:tblGrid>
        <w:gridCol w:w="10456"/>
      </w:tblGrid>
      <w:tr w:rsidR="00047819" w:rsidRPr="00047819" w14:paraId="2851C497" w14:textId="77777777" w:rsidTr="00047819">
        <w:tc>
          <w:tcPr>
            <w:tcW w:w="10456" w:type="dxa"/>
          </w:tcPr>
          <w:p w14:paraId="6E0B78A1" w14:textId="77777777" w:rsidR="00047819" w:rsidRPr="00047819" w:rsidRDefault="00047819" w:rsidP="00047819">
            <w:pPr>
              <w:pStyle w:val="a3"/>
              <w:numPr>
                <w:ilvl w:val="0"/>
                <w:numId w:val="36"/>
              </w:numPr>
              <w:spacing w:after="0"/>
              <w:ind w:left="720" w:firstLineChars="0"/>
              <w:rPr>
                <w:i/>
                <w:szCs w:val="24"/>
              </w:rPr>
            </w:pPr>
            <w:r w:rsidRPr="00047819">
              <w:rPr>
                <w:i/>
                <w:szCs w:val="24"/>
              </w:rPr>
              <w:t>Proposals</w:t>
            </w:r>
          </w:p>
          <w:p w14:paraId="491FB52B" w14:textId="77777777" w:rsidR="00047819" w:rsidRPr="00047819" w:rsidRDefault="00047819" w:rsidP="00047819">
            <w:pPr>
              <w:pStyle w:val="a3"/>
              <w:numPr>
                <w:ilvl w:val="1"/>
                <w:numId w:val="36"/>
              </w:numPr>
              <w:spacing w:after="0"/>
              <w:ind w:firstLineChars="0"/>
              <w:rPr>
                <w:i/>
                <w:szCs w:val="24"/>
              </w:rPr>
            </w:pPr>
            <w:r w:rsidRPr="00047819">
              <w:rPr>
                <w:i/>
                <w:szCs w:val="24"/>
              </w:rPr>
              <w:t>Option 1: Define the NTN demodulation requirement only based on the worst case of elevation angle in LEO600 deployment. The delay and Doppler configuration should be based on the agreed worst case.</w:t>
            </w:r>
          </w:p>
          <w:p w14:paraId="6076160D" w14:textId="77777777" w:rsidR="00047819" w:rsidRPr="00047819" w:rsidRDefault="00047819" w:rsidP="00047819">
            <w:pPr>
              <w:pStyle w:val="a3"/>
              <w:numPr>
                <w:ilvl w:val="1"/>
                <w:numId w:val="36"/>
              </w:numPr>
              <w:spacing w:after="0"/>
              <w:ind w:firstLineChars="0"/>
              <w:rPr>
                <w:i/>
                <w:szCs w:val="24"/>
              </w:rPr>
            </w:pPr>
            <w:r w:rsidRPr="00047819">
              <w:rPr>
                <w:i/>
                <w:szCs w:val="24"/>
              </w:rPr>
              <w:t>Option 2: Consider the maximum delay spread of 100ns (Agreements from RAN4#102e). The doppler shift will depend on the outcome of Issue 1-2-2 – Issue 1-2-6</w:t>
            </w:r>
          </w:p>
          <w:p w14:paraId="2D38CBFD" w14:textId="77777777" w:rsidR="00047819" w:rsidRPr="00047819" w:rsidRDefault="00047819" w:rsidP="00047819">
            <w:pPr>
              <w:pStyle w:val="a3"/>
              <w:numPr>
                <w:ilvl w:val="0"/>
                <w:numId w:val="36"/>
              </w:numPr>
              <w:spacing w:after="0"/>
              <w:ind w:left="720" w:firstLineChars="0"/>
              <w:rPr>
                <w:i/>
                <w:szCs w:val="24"/>
              </w:rPr>
            </w:pPr>
            <w:r w:rsidRPr="00047819">
              <w:rPr>
                <w:i/>
                <w:szCs w:val="24"/>
              </w:rPr>
              <w:t>Agreements:</w:t>
            </w:r>
          </w:p>
          <w:p w14:paraId="2C7F3CF1" w14:textId="762590C5" w:rsidR="00047819" w:rsidRPr="00047819" w:rsidRDefault="00047819" w:rsidP="00047819">
            <w:pPr>
              <w:pStyle w:val="a3"/>
              <w:numPr>
                <w:ilvl w:val="1"/>
                <w:numId w:val="36"/>
              </w:numPr>
              <w:spacing w:after="0"/>
              <w:ind w:firstLineChars="0"/>
              <w:rPr>
                <w:i/>
                <w:szCs w:val="24"/>
              </w:rPr>
            </w:pPr>
            <w:r w:rsidRPr="00047819">
              <w:rPr>
                <w:i/>
                <w:szCs w:val="24"/>
              </w:rPr>
              <w:t>Further discuss in next meeting.</w:t>
            </w:r>
          </w:p>
        </w:tc>
      </w:tr>
    </w:tbl>
    <w:p w14:paraId="55286605" w14:textId="2AAFF462" w:rsidR="00047819" w:rsidRDefault="00047819" w:rsidP="00047819">
      <w:pPr>
        <w:rPr>
          <w:lang w:val="en-US" w:eastAsia="zh-CN"/>
        </w:rPr>
      </w:pPr>
    </w:p>
    <w:p w14:paraId="3B3F2606" w14:textId="38C5F27C" w:rsidR="001A09D0" w:rsidRDefault="001A09D0" w:rsidP="00047819">
      <w:pPr>
        <w:rPr>
          <w:lang w:val="en-US" w:eastAsia="zh-CN"/>
        </w:rPr>
      </w:pPr>
      <w:r w:rsidRPr="001A09D0">
        <w:rPr>
          <w:lang w:val="en-US" w:eastAsia="zh-CN"/>
        </w:rPr>
        <w:t>Assuming that the UE compensation prior to the baseband processing is not verified,</w:t>
      </w:r>
      <w:r>
        <w:rPr>
          <w:lang w:val="en-US" w:eastAsia="zh-CN"/>
        </w:rPr>
        <w:t xml:space="preserve"> we think </w:t>
      </w:r>
      <w:r w:rsidRPr="001A09D0">
        <w:rPr>
          <w:lang w:val="en-US" w:eastAsia="zh-CN"/>
        </w:rPr>
        <w:t>only one requirement based on LEO600 is enough since there is no difference for different scenario from the demodulation point of view.</w:t>
      </w:r>
      <w:r>
        <w:rPr>
          <w:lang w:val="en-US" w:eastAsia="zh-CN"/>
        </w:rPr>
        <w:t xml:space="preserve"> So we prefer to keep previous agreements about the </w:t>
      </w:r>
      <w:r w:rsidRPr="001A09D0">
        <w:rPr>
          <w:lang w:val="en-US" w:eastAsia="zh-CN"/>
        </w:rPr>
        <w:t>delay and Doppler</w:t>
      </w:r>
      <w:r>
        <w:rPr>
          <w:lang w:val="en-US" w:eastAsia="zh-CN"/>
        </w:rPr>
        <w:t xml:space="preserve"> </w:t>
      </w:r>
      <w:r w:rsidRPr="001A09D0">
        <w:rPr>
          <w:lang w:val="en-US" w:eastAsia="zh-CN"/>
        </w:rPr>
        <w:t>configuration</w:t>
      </w:r>
      <w:r>
        <w:rPr>
          <w:lang w:val="en-US" w:eastAsia="zh-CN"/>
        </w:rPr>
        <w:t xml:space="preserve"> for NTN demodulation requirements.</w:t>
      </w:r>
    </w:p>
    <w:p w14:paraId="1CF45691" w14:textId="04472D03" w:rsidR="001A09D0" w:rsidRDefault="001A09D0" w:rsidP="001A09D0">
      <w:pPr>
        <w:pStyle w:val="Proposal"/>
      </w:pPr>
      <w:r>
        <w:t>K</w:t>
      </w:r>
      <w:r w:rsidRPr="001A09D0">
        <w:t>eep previous agreements about the delay and Doppler configuration for NTN demodulation requirements.</w:t>
      </w:r>
    </w:p>
    <w:p w14:paraId="3D531CA6" w14:textId="762CF9B0" w:rsidR="00047819" w:rsidRDefault="00047819" w:rsidP="00047819">
      <w:pPr>
        <w:pStyle w:val="2"/>
        <w:rPr>
          <w:lang w:val="en-US" w:eastAsia="zh-CN"/>
        </w:rPr>
      </w:pPr>
      <w:r w:rsidRPr="00047819">
        <w:rPr>
          <w:lang w:val="en-US" w:eastAsia="zh-CN"/>
        </w:rPr>
        <w:t>Elevation angle</w:t>
      </w:r>
    </w:p>
    <w:tbl>
      <w:tblPr>
        <w:tblStyle w:val="ae"/>
        <w:tblW w:w="0" w:type="auto"/>
        <w:tblLook w:val="04A0" w:firstRow="1" w:lastRow="0" w:firstColumn="1" w:lastColumn="0" w:noHBand="0" w:noVBand="1"/>
      </w:tblPr>
      <w:tblGrid>
        <w:gridCol w:w="10456"/>
      </w:tblGrid>
      <w:tr w:rsidR="00047819" w:rsidRPr="00386515" w14:paraId="30403E55" w14:textId="77777777" w:rsidTr="00047819">
        <w:tc>
          <w:tcPr>
            <w:tcW w:w="10456" w:type="dxa"/>
          </w:tcPr>
          <w:p w14:paraId="57047358" w14:textId="77777777" w:rsidR="00386515" w:rsidRPr="00386515" w:rsidRDefault="00386515" w:rsidP="00386515">
            <w:pPr>
              <w:pStyle w:val="a3"/>
              <w:numPr>
                <w:ilvl w:val="0"/>
                <w:numId w:val="36"/>
              </w:numPr>
              <w:spacing w:after="0"/>
              <w:ind w:left="720" w:firstLineChars="0"/>
              <w:rPr>
                <w:i/>
                <w:iCs/>
              </w:rPr>
            </w:pPr>
            <w:r w:rsidRPr="00386515">
              <w:rPr>
                <w:i/>
                <w:iCs/>
              </w:rPr>
              <w:t>Proposals</w:t>
            </w:r>
          </w:p>
          <w:p w14:paraId="60C9D527" w14:textId="77777777" w:rsidR="00386515" w:rsidRPr="00386515" w:rsidRDefault="00386515" w:rsidP="00386515">
            <w:pPr>
              <w:pStyle w:val="a3"/>
              <w:numPr>
                <w:ilvl w:val="1"/>
                <w:numId w:val="36"/>
              </w:numPr>
              <w:spacing w:after="0"/>
              <w:ind w:firstLineChars="0"/>
              <w:rPr>
                <w:i/>
                <w:iCs/>
              </w:rPr>
            </w:pPr>
            <w:r w:rsidRPr="00386515">
              <w:rPr>
                <w:i/>
                <w:iCs/>
              </w:rPr>
              <w:t xml:space="preserve">Option 1: Consider the following elevation angles and the corresponding delay spread, k-factor, etc., </w:t>
            </w:r>
          </w:p>
          <w:p w14:paraId="3A031F5F" w14:textId="77777777" w:rsidR="00386515" w:rsidRPr="00386515" w:rsidRDefault="00386515" w:rsidP="00386515">
            <w:pPr>
              <w:pStyle w:val="a3"/>
              <w:numPr>
                <w:ilvl w:val="2"/>
                <w:numId w:val="36"/>
              </w:numPr>
              <w:spacing w:after="0"/>
              <w:ind w:firstLineChars="0"/>
              <w:rPr>
                <w:i/>
                <w:iCs/>
              </w:rPr>
            </w:pPr>
            <w:r w:rsidRPr="00386515">
              <w:rPr>
                <w:i/>
                <w:iCs/>
                <w:szCs w:val="24"/>
              </w:rPr>
              <w:t>Dense urban LOS scenario with elevation angle 20</w:t>
            </w:r>
            <w:r w:rsidRPr="00386515">
              <w:rPr>
                <w:i/>
                <w:iCs/>
                <w:szCs w:val="24"/>
                <w:vertAlign w:val="superscript"/>
              </w:rPr>
              <w:t>o</w:t>
            </w:r>
            <w:r w:rsidRPr="00386515">
              <w:rPr>
                <w:i/>
                <w:iCs/>
                <w:szCs w:val="24"/>
              </w:rPr>
              <w:t>, 50</w:t>
            </w:r>
            <w:r w:rsidRPr="00386515">
              <w:rPr>
                <w:i/>
                <w:iCs/>
                <w:szCs w:val="24"/>
                <w:vertAlign w:val="superscript"/>
              </w:rPr>
              <w:t>o</w:t>
            </w:r>
            <w:r w:rsidRPr="00386515">
              <w:rPr>
                <w:i/>
                <w:iCs/>
                <w:szCs w:val="24"/>
              </w:rPr>
              <w:t xml:space="preserve"> and 90</w:t>
            </w:r>
            <w:r w:rsidRPr="00386515">
              <w:rPr>
                <w:i/>
                <w:iCs/>
                <w:szCs w:val="24"/>
                <w:vertAlign w:val="superscript"/>
              </w:rPr>
              <w:t>o</w:t>
            </w:r>
          </w:p>
          <w:p w14:paraId="24D75010" w14:textId="77777777" w:rsidR="00386515" w:rsidRPr="00386515" w:rsidRDefault="00386515" w:rsidP="00386515">
            <w:pPr>
              <w:pStyle w:val="a3"/>
              <w:numPr>
                <w:ilvl w:val="2"/>
                <w:numId w:val="36"/>
              </w:numPr>
              <w:spacing w:after="0"/>
              <w:ind w:firstLineChars="0"/>
              <w:rPr>
                <w:i/>
                <w:iCs/>
              </w:rPr>
            </w:pPr>
            <w:r w:rsidRPr="00386515">
              <w:rPr>
                <w:i/>
                <w:iCs/>
                <w:szCs w:val="24"/>
              </w:rPr>
              <w:t>Urban NLOS scenario with elevation angle 20</w:t>
            </w:r>
            <w:r w:rsidRPr="00386515">
              <w:rPr>
                <w:i/>
                <w:iCs/>
                <w:szCs w:val="24"/>
                <w:vertAlign w:val="superscript"/>
              </w:rPr>
              <w:t>o</w:t>
            </w:r>
            <w:r w:rsidRPr="00386515">
              <w:rPr>
                <w:i/>
                <w:iCs/>
                <w:szCs w:val="24"/>
              </w:rPr>
              <w:t>, 50</w:t>
            </w:r>
            <w:r w:rsidRPr="00386515">
              <w:rPr>
                <w:i/>
                <w:iCs/>
                <w:szCs w:val="24"/>
                <w:vertAlign w:val="superscript"/>
              </w:rPr>
              <w:t>o</w:t>
            </w:r>
            <w:r w:rsidRPr="00386515">
              <w:rPr>
                <w:i/>
                <w:iCs/>
                <w:szCs w:val="24"/>
              </w:rPr>
              <w:t xml:space="preserve"> and 90</w:t>
            </w:r>
            <w:r w:rsidRPr="00386515">
              <w:rPr>
                <w:i/>
                <w:iCs/>
                <w:szCs w:val="24"/>
                <w:vertAlign w:val="superscript"/>
              </w:rPr>
              <w:t>o</w:t>
            </w:r>
          </w:p>
          <w:p w14:paraId="73273367" w14:textId="77777777" w:rsidR="00386515" w:rsidRPr="00386515" w:rsidRDefault="00386515" w:rsidP="00386515">
            <w:pPr>
              <w:pStyle w:val="a3"/>
              <w:numPr>
                <w:ilvl w:val="1"/>
                <w:numId w:val="36"/>
              </w:numPr>
              <w:spacing w:after="0"/>
              <w:ind w:firstLineChars="0"/>
              <w:rPr>
                <w:i/>
                <w:iCs/>
              </w:rPr>
            </w:pPr>
            <w:r w:rsidRPr="00386515">
              <w:rPr>
                <w:i/>
                <w:iCs/>
              </w:rPr>
              <w:t>Option 2: Whether to consider the different elevation angles and corresponding k-factors depend on the outcome of Issue 1-2-2 – Issue 1-2-6</w:t>
            </w:r>
          </w:p>
          <w:p w14:paraId="41EBDC19" w14:textId="77777777" w:rsidR="00386515" w:rsidRPr="00386515" w:rsidRDefault="00386515" w:rsidP="00386515">
            <w:pPr>
              <w:pStyle w:val="a3"/>
              <w:numPr>
                <w:ilvl w:val="0"/>
                <w:numId w:val="36"/>
              </w:numPr>
              <w:spacing w:after="0"/>
              <w:ind w:left="720" w:firstLineChars="0"/>
              <w:rPr>
                <w:i/>
                <w:szCs w:val="24"/>
              </w:rPr>
            </w:pPr>
            <w:r w:rsidRPr="00386515">
              <w:rPr>
                <w:i/>
                <w:szCs w:val="24"/>
              </w:rPr>
              <w:t>Agreements:</w:t>
            </w:r>
          </w:p>
          <w:p w14:paraId="4C8BF4EE" w14:textId="58F0F0AB" w:rsidR="00047819" w:rsidRPr="00386515" w:rsidRDefault="00386515" w:rsidP="00386515">
            <w:pPr>
              <w:pStyle w:val="a3"/>
              <w:numPr>
                <w:ilvl w:val="1"/>
                <w:numId w:val="36"/>
              </w:numPr>
              <w:spacing w:after="0"/>
              <w:ind w:firstLineChars="0"/>
              <w:rPr>
                <w:i/>
                <w:szCs w:val="24"/>
              </w:rPr>
            </w:pPr>
            <w:r w:rsidRPr="00386515">
              <w:rPr>
                <w:i/>
                <w:szCs w:val="24"/>
              </w:rPr>
              <w:t>Further discuss in next meeting.</w:t>
            </w:r>
          </w:p>
        </w:tc>
      </w:tr>
    </w:tbl>
    <w:p w14:paraId="3673BB97" w14:textId="11C79479" w:rsidR="00047819" w:rsidRDefault="00047819" w:rsidP="00047819">
      <w:pPr>
        <w:rPr>
          <w:lang w:val="en-US" w:eastAsia="zh-CN"/>
        </w:rPr>
      </w:pPr>
    </w:p>
    <w:p w14:paraId="3097B322" w14:textId="5BB598B7" w:rsidR="00A3245F" w:rsidRDefault="00A3245F" w:rsidP="00047819">
      <w:pPr>
        <w:rPr>
          <w:lang w:val="en-US" w:eastAsia="zh-CN"/>
        </w:rPr>
      </w:pPr>
      <w:r w:rsidRPr="00A3245F">
        <w:rPr>
          <w:lang w:val="en-US" w:eastAsia="zh-CN"/>
        </w:rPr>
        <w:t>Assuming that the UE compensation prior to the baseband processing is not verified</w:t>
      </w:r>
      <w:r>
        <w:rPr>
          <w:lang w:val="en-US" w:eastAsia="zh-CN"/>
        </w:rPr>
        <w:t xml:space="preserve">, we don’t see big difference for different elevation angle from the demodulation point of view. Also, in previous meetings, there are agreements that 100ns delay spread is </w:t>
      </w:r>
      <w:r>
        <w:rPr>
          <w:lang w:val="en-US" w:eastAsia="zh-CN"/>
        </w:rPr>
        <w:lastRenderedPageBreak/>
        <w:t xml:space="preserve">select for NTN demodulation requirements. Therefore, we prefer to not explicitly specify the detailed </w:t>
      </w:r>
      <w:r w:rsidRPr="00A3245F">
        <w:rPr>
          <w:lang w:val="en-US" w:eastAsia="zh-CN"/>
        </w:rPr>
        <w:t>elevation angle</w:t>
      </w:r>
      <w:r>
        <w:rPr>
          <w:lang w:val="en-US" w:eastAsia="zh-CN"/>
        </w:rPr>
        <w:t xml:space="preserve"> for </w:t>
      </w:r>
      <w:r w:rsidRPr="00A3245F">
        <w:rPr>
          <w:lang w:val="en-US" w:eastAsia="zh-CN"/>
        </w:rPr>
        <w:t>NTN demodulation requirements</w:t>
      </w:r>
      <w:r>
        <w:rPr>
          <w:lang w:val="en-US" w:eastAsia="zh-CN"/>
        </w:rPr>
        <w:t>.</w:t>
      </w:r>
    </w:p>
    <w:p w14:paraId="3C018048" w14:textId="5DF64BDB" w:rsidR="00A3245F" w:rsidRDefault="001A09D0" w:rsidP="00A3245F">
      <w:pPr>
        <w:pStyle w:val="Proposal"/>
      </w:pPr>
      <w:r>
        <w:t>D</w:t>
      </w:r>
      <w:r w:rsidR="00A3245F" w:rsidRPr="00A3245F">
        <w:t>o not explicitly specify the detailed elevation angle for NTN demodulation requirements.</w:t>
      </w:r>
    </w:p>
    <w:p w14:paraId="76A426D8" w14:textId="11011616" w:rsidR="00047819" w:rsidRDefault="00047819" w:rsidP="00047819">
      <w:pPr>
        <w:pStyle w:val="2"/>
        <w:rPr>
          <w:lang w:val="en-US" w:eastAsia="zh-CN"/>
        </w:rPr>
      </w:pPr>
      <w:r w:rsidRPr="00047819">
        <w:rPr>
          <w:lang w:val="en-US" w:eastAsia="zh-CN"/>
        </w:rPr>
        <w:t>Doppler shift due to satellite motion for DL in service link</w:t>
      </w:r>
    </w:p>
    <w:tbl>
      <w:tblPr>
        <w:tblStyle w:val="ae"/>
        <w:tblW w:w="0" w:type="auto"/>
        <w:tblLook w:val="04A0" w:firstRow="1" w:lastRow="0" w:firstColumn="1" w:lastColumn="0" w:noHBand="0" w:noVBand="1"/>
      </w:tblPr>
      <w:tblGrid>
        <w:gridCol w:w="10456"/>
      </w:tblGrid>
      <w:tr w:rsidR="00047819" w:rsidRPr="00047819" w14:paraId="1FD8C344" w14:textId="77777777" w:rsidTr="00047819">
        <w:tc>
          <w:tcPr>
            <w:tcW w:w="10456" w:type="dxa"/>
          </w:tcPr>
          <w:p w14:paraId="0AB20ADA" w14:textId="77777777" w:rsidR="00047819" w:rsidRPr="00047819" w:rsidRDefault="00047819" w:rsidP="00047819">
            <w:pPr>
              <w:pStyle w:val="a3"/>
              <w:numPr>
                <w:ilvl w:val="0"/>
                <w:numId w:val="36"/>
              </w:numPr>
              <w:spacing w:after="0"/>
              <w:ind w:left="720" w:firstLineChars="0"/>
              <w:rPr>
                <w:i/>
                <w:iCs/>
              </w:rPr>
            </w:pPr>
            <w:r w:rsidRPr="00047819">
              <w:rPr>
                <w:i/>
                <w:iCs/>
              </w:rPr>
              <w:t>Proposals</w:t>
            </w:r>
          </w:p>
          <w:p w14:paraId="6B570218" w14:textId="77777777" w:rsidR="00047819" w:rsidRPr="00047819" w:rsidRDefault="00047819" w:rsidP="00047819">
            <w:pPr>
              <w:pStyle w:val="a3"/>
              <w:numPr>
                <w:ilvl w:val="1"/>
                <w:numId w:val="36"/>
              </w:numPr>
              <w:spacing w:after="0"/>
              <w:ind w:firstLineChars="0"/>
              <w:rPr>
                <w:i/>
                <w:iCs/>
              </w:rPr>
            </w:pPr>
            <w:r w:rsidRPr="00047819">
              <w:rPr>
                <w:i/>
                <w:iCs/>
              </w:rPr>
              <w:t>Option 1: Do not verify the UE compensation prior to the baseband processing. The maximum doppler shift is residual frequency offset, i.e., 0.1ppm.</w:t>
            </w:r>
          </w:p>
          <w:p w14:paraId="03F835B4" w14:textId="77777777" w:rsidR="00047819" w:rsidRPr="00047819" w:rsidRDefault="00047819" w:rsidP="00047819">
            <w:pPr>
              <w:pStyle w:val="a3"/>
              <w:numPr>
                <w:ilvl w:val="1"/>
                <w:numId w:val="36"/>
              </w:numPr>
              <w:spacing w:after="0"/>
              <w:ind w:firstLineChars="0"/>
              <w:rPr>
                <w:i/>
                <w:iCs/>
              </w:rPr>
            </w:pPr>
            <w:r w:rsidRPr="00047819">
              <w:rPr>
                <w:i/>
                <w:iCs/>
              </w:rPr>
              <w:t>Option 2: If no other test cases (including Demod/RRM/RF) cover the frequency error after UE compensation, consider the maximum doppler shift 24ppm, i.e., 48 cos⁡</w:t>
            </w:r>
            <w:r w:rsidRPr="00047819">
              <w:rPr>
                <w:rFonts w:hint="eastAsia"/>
                <w:i/>
                <w:iCs/>
              </w:rPr>
              <w:t>〖α</w:t>
            </w:r>
            <w:r w:rsidRPr="00047819">
              <w:rPr>
                <w:i/>
                <w:iCs/>
              </w:rPr>
              <w:t xml:space="preserve">_model </w:t>
            </w:r>
            <w:r w:rsidRPr="00047819">
              <w:rPr>
                <w:rFonts w:hint="eastAsia"/>
                <w:i/>
                <w:iCs/>
              </w:rPr>
              <w:t>〗</w:t>
            </w:r>
            <w:r w:rsidRPr="00047819">
              <w:rPr>
                <w:i/>
                <w:iCs/>
              </w:rPr>
              <w:t xml:space="preserve"> (kHz) , where α_model is the chosen satellite elevation angle, to verify the UE compensation prior to the baseband processing.</w:t>
            </w:r>
          </w:p>
          <w:p w14:paraId="6430EBEB" w14:textId="77777777" w:rsidR="00047819" w:rsidRPr="00047819" w:rsidRDefault="00047819" w:rsidP="00047819">
            <w:pPr>
              <w:pStyle w:val="a3"/>
              <w:numPr>
                <w:ilvl w:val="0"/>
                <w:numId w:val="36"/>
              </w:numPr>
              <w:spacing w:after="0"/>
              <w:ind w:left="720" w:firstLineChars="0"/>
              <w:rPr>
                <w:i/>
                <w:iCs/>
              </w:rPr>
            </w:pPr>
            <w:r w:rsidRPr="00047819">
              <w:rPr>
                <w:i/>
                <w:iCs/>
              </w:rPr>
              <w:t xml:space="preserve">Agreements: </w:t>
            </w:r>
          </w:p>
          <w:p w14:paraId="43D772AF" w14:textId="77777777" w:rsidR="00047819" w:rsidRPr="00047819" w:rsidRDefault="00047819" w:rsidP="00047819">
            <w:pPr>
              <w:pStyle w:val="a3"/>
              <w:numPr>
                <w:ilvl w:val="1"/>
                <w:numId w:val="36"/>
              </w:numPr>
              <w:spacing w:after="0"/>
              <w:ind w:firstLineChars="0"/>
              <w:rPr>
                <w:i/>
                <w:iCs/>
              </w:rPr>
            </w:pPr>
            <w:r w:rsidRPr="00047819">
              <w:rPr>
                <w:i/>
                <w:iCs/>
              </w:rPr>
              <w:t>Option 1 under the assumption UE compensation functionality will be covered by other requirements i.e., RF requirements.</w:t>
            </w:r>
          </w:p>
          <w:p w14:paraId="0D4B6119" w14:textId="442E6086" w:rsidR="00047819" w:rsidRPr="00047819" w:rsidRDefault="00047819" w:rsidP="00047819">
            <w:pPr>
              <w:pStyle w:val="a3"/>
              <w:numPr>
                <w:ilvl w:val="2"/>
                <w:numId w:val="36"/>
              </w:numPr>
              <w:spacing w:after="0"/>
              <w:ind w:firstLineChars="0"/>
              <w:rPr>
                <w:i/>
                <w:iCs/>
              </w:rPr>
            </w:pPr>
            <w:r w:rsidRPr="00047819">
              <w:rPr>
                <w:i/>
                <w:iCs/>
              </w:rPr>
              <w:t>It’s FFS whether this already covered by other requirement (RF and or RRM); RAN4 can further discuss whether this need to be verified by demodulation requirements if RAN4 conclude it’s not covered by other requirements (RF and or RRM).</w:t>
            </w:r>
          </w:p>
        </w:tc>
      </w:tr>
    </w:tbl>
    <w:p w14:paraId="1DD7FC3D" w14:textId="1035C989" w:rsidR="00047819" w:rsidRDefault="00047819" w:rsidP="00047819">
      <w:pPr>
        <w:rPr>
          <w:lang w:val="en-US" w:eastAsia="zh-CN"/>
        </w:rPr>
      </w:pPr>
    </w:p>
    <w:p w14:paraId="7A814DBB" w14:textId="580A6BB5" w:rsidR="00415444" w:rsidRDefault="0000653F" w:rsidP="00047819">
      <w:pPr>
        <w:rPr>
          <w:lang w:val="en-US" w:eastAsia="zh-CN"/>
        </w:rPr>
      </w:pPr>
      <w:r w:rsidRPr="0000653F">
        <w:rPr>
          <w:lang w:val="en-US" w:eastAsia="zh-CN"/>
        </w:rPr>
        <w:t>From our understanding, the RF requirement about frequency error is total of downlink error and uplink error</w:t>
      </w:r>
      <w:r>
        <w:rPr>
          <w:lang w:val="en-US" w:eastAsia="zh-CN"/>
        </w:rPr>
        <w:t>, since t</w:t>
      </w:r>
      <w:r w:rsidR="00113FF0">
        <w:rPr>
          <w:lang w:val="en-US" w:eastAsia="zh-CN"/>
        </w:rPr>
        <w:t xml:space="preserve">he UE is firstly </w:t>
      </w:r>
      <w:r w:rsidR="00113FF0" w:rsidRPr="00113FF0">
        <w:rPr>
          <w:lang w:val="en-US" w:eastAsia="zh-CN"/>
        </w:rPr>
        <w:t>synchronize</w:t>
      </w:r>
      <w:r w:rsidR="00113FF0">
        <w:rPr>
          <w:lang w:val="en-US" w:eastAsia="zh-CN"/>
        </w:rPr>
        <w:t>d via downlink received</w:t>
      </w:r>
      <w:r w:rsidR="00113FF0" w:rsidRPr="00113FF0">
        <w:rPr>
          <w:lang w:val="en-US" w:eastAsia="zh-CN"/>
        </w:rPr>
        <w:t xml:space="preserve"> carrier frequency</w:t>
      </w:r>
      <w:r w:rsidR="00113FF0">
        <w:rPr>
          <w:lang w:val="en-US" w:eastAsia="zh-CN"/>
        </w:rPr>
        <w:t xml:space="preserve"> of</w:t>
      </w:r>
      <w:r w:rsidR="00113FF0" w:rsidRPr="00113FF0">
        <w:rPr>
          <w:lang w:val="en-US" w:eastAsia="zh-CN"/>
        </w:rPr>
        <w:t xml:space="preserve"> </w:t>
      </w:r>
      <w:r w:rsidR="00113FF0">
        <w:rPr>
          <w:lang w:val="en-US" w:eastAsia="zh-CN"/>
        </w:rPr>
        <w:t xml:space="preserve">SSB and then UE decided the uplink transmission carrier frequency based on the </w:t>
      </w:r>
      <w:r>
        <w:rPr>
          <w:lang w:val="en-US" w:eastAsia="zh-CN"/>
        </w:rPr>
        <w:t xml:space="preserve">it. So we think </w:t>
      </w:r>
      <w:r w:rsidRPr="0000653F">
        <w:rPr>
          <w:lang w:val="en-US" w:eastAsia="zh-CN"/>
        </w:rPr>
        <w:t xml:space="preserve">UE compensation functionality </w:t>
      </w:r>
      <w:r>
        <w:rPr>
          <w:lang w:val="en-US" w:eastAsia="zh-CN"/>
        </w:rPr>
        <w:t>is</w:t>
      </w:r>
      <w:r w:rsidRPr="0000653F">
        <w:rPr>
          <w:lang w:val="en-US" w:eastAsia="zh-CN"/>
        </w:rPr>
        <w:t xml:space="preserve"> </w:t>
      </w:r>
      <w:r>
        <w:rPr>
          <w:lang w:val="en-US" w:eastAsia="zh-CN"/>
        </w:rPr>
        <w:t xml:space="preserve">already </w:t>
      </w:r>
      <w:r w:rsidRPr="0000653F">
        <w:rPr>
          <w:lang w:val="en-US" w:eastAsia="zh-CN"/>
        </w:rPr>
        <w:t>covered</w:t>
      </w:r>
      <w:r>
        <w:rPr>
          <w:lang w:val="en-US" w:eastAsia="zh-CN"/>
        </w:rPr>
        <w:t xml:space="preserve"> by RF requirements and we prefer to not </w:t>
      </w:r>
      <w:r w:rsidRPr="0000653F">
        <w:rPr>
          <w:lang w:val="en-US" w:eastAsia="zh-CN"/>
        </w:rPr>
        <w:t>verify the UE compensation prior to the baseband processing</w:t>
      </w:r>
      <w:r>
        <w:rPr>
          <w:lang w:val="en-US" w:eastAsia="zh-CN"/>
        </w:rPr>
        <w:t>.</w:t>
      </w:r>
    </w:p>
    <w:tbl>
      <w:tblPr>
        <w:tblStyle w:val="ae"/>
        <w:tblW w:w="0" w:type="auto"/>
        <w:tblLook w:val="04A0" w:firstRow="1" w:lastRow="0" w:firstColumn="1" w:lastColumn="0" w:noHBand="0" w:noVBand="1"/>
      </w:tblPr>
      <w:tblGrid>
        <w:gridCol w:w="10456"/>
      </w:tblGrid>
      <w:tr w:rsidR="00B96CFF" w:rsidRPr="00B96CFF" w14:paraId="31BFC0B6" w14:textId="77777777" w:rsidTr="00B96CFF">
        <w:tc>
          <w:tcPr>
            <w:tcW w:w="10456" w:type="dxa"/>
          </w:tcPr>
          <w:p w14:paraId="1423855B" w14:textId="589122C5" w:rsidR="00B96CFF" w:rsidRPr="00B96CFF" w:rsidRDefault="00B96CFF" w:rsidP="00B96CFF">
            <w:pPr>
              <w:spacing w:after="0"/>
              <w:rPr>
                <w:i/>
                <w:lang w:val="en-US" w:eastAsia="zh-CN"/>
              </w:rPr>
            </w:pPr>
            <w:r w:rsidRPr="00B96CFF">
              <w:rPr>
                <w:i/>
                <w:lang w:val="en-US" w:eastAsia="zh-CN"/>
              </w:rPr>
              <w:t>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ms of cumulated measurement intervals compared to ideally pre-compensated reference uplink carrier frequency.</w:t>
            </w:r>
          </w:p>
        </w:tc>
      </w:tr>
    </w:tbl>
    <w:p w14:paraId="22D2D3E0" w14:textId="77777777" w:rsidR="00B96CFF" w:rsidRDefault="00B96CFF" w:rsidP="00047819">
      <w:pPr>
        <w:rPr>
          <w:lang w:val="en-US" w:eastAsia="zh-CN"/>
        </w:rPr>
      </w:pPr>
    </w:p>
    <w:p w14:paraId="0EE43C71" w14:textId="70EBA667" w:rsidR="0000653F" w:rsidRDefault="0000653F" w:rsidP="0000653F">
      <w:pPr>
        <w:pStyle w:val="Proposal"/>
      </w:pPr>
      <w:r>
        <w:t xml:space="preserve">For Doppler, </w:t>
      </w:r>
      <w:r w:rsidRPr="0000653F">
        <w:t>UE compensation functionality is already covered by RF requirements</w:t>
      </w:r>
      <w:r>
        <w:t xml:space="preserve">. Do </w:t>
      </w:r>
      <w:r w:rsidRPr="0000653F">
        <w:t>not verify the UE compensation prior to the baseband processing.</w:t>
      </w:r>
    </w:p>
    <w:p w14:paraId="61DD7FF6" w14:textId="153F9B6F" w:rsidR="00047819" w:rsidRDefault="00047819" w:rsidP="00047819">
      <w:pPr>
        <w:pStyle w:val="2"/>
        <w:rPr>
          <w:lang w:eastAsia="ko-KR"/>
        </w:rPr>
      </w:pPr>
      <w:r w:rsidRPr="007942EC">
        <w:rPr>
          <w:lang w:eastAsia="ko-KR"/>
        </w:rPr>
        <w:t>Timing drift and sampling frequency offset</w:t>
      </w:r>
    </w:p>
    <w:tbl>
      <w:tblPr>
        <w:tblStyle w:val="ae"/>
        <w:tblW w:w="0" w:type="auto"/>
        <w:tblLook w:val="04A0" w:firstRow="1" w:lastRow="0" w:firstColumn="1" w:lastColumn="0" w:noHBand="0" w:noVBand="1"/>
      </w:tblPr>
      <w:tblGrid>
        <w:gridCol w:w="10456"/>
      </w:tblGrid>
      <w:tr w:rsidR="00047819" w:rsidRPr="00047819" w14:paraId="0E82FB06" w14:textId="77777777" w:rsidTr="00047819">
        <w:tc>
          <w:tcPr>
            <w:tcW w:w="10456" w:type="dxa"/>
          </w:tcPr>
          <w:p w14:paraId="2C92C4F2" w14:textId="77777777" w:rsidR="00047819" w:rsidRPr="00047819" w:rsidRDefault="00047819" w:rsidP="00047819">
            <w:pPr>
              <w:pStyle w:val="a3"/>
              <w:numPr>
                <w:ilvl w:val="0"/>
                <w:numId w:val="36"/>
              </w:numPr>
              <w:spacing w:after="0"/>
              <w:ind w:left="720" w:firstLineChars="0"/>
              <w:rPr>
                <w:i/>
                <w:iCs/>
              </w:rPr>
            </w:pPr>
            <w:r w:rsidRPr="00047819">
              <w:rPr>
                <w:i/>
                <w:iCs/>
              </w:rPr>
              <w:t>Proposals</w:t>
            </w:r>
          </w:p>
          <w:p w14:paraId="159A4B76" w14:textId="77777777" w:rsidR="00047819" w:rsidRPr="00047819" w:rsidRDefault="00047819" w:rsidP="00047819">
            <w:pPr>
              <w:pStyle w:val="a3"/>
              <w:numPr>
                <w:ilvl w:val="1"/>
                <w:numId w:val="36"/>
              </w:numPr>
              <w:spacing w:after="0"/>
              <w:ind w:firstLineChars="0"/>
              <w:rPr>
                <w:i/>
                <w:iCs/>
              </w:rPr>
            </w:pPr>
            <w:r w:rsidRPr="00047819">
              <w:rPr>
                <w:i/>
                <w:iCs/>
              </w:rPr>
              <w:t>Option 1: Do not define sampling offset model</w:t>
            </w:r>
          </w:p>
          <w:p w14:paraId="5B4DB5A6" w14:textId="77777777" w:rsidR="00047819" w:rsidRPr="00047819" w:rsidRDefault="00047819" w:rsidP="00047819">
            <w:pPr>
              <w:pStyle w:val="a3"/>
              <w:numPr>
                <w:ilvl w:val="1"/>
                <w:numId w:val="36"/>
              </w:numPr>
              <w:overflowPunct w:val="0"/>
              <w:autoSpaceDE w:val="0"/>
              <w:autoSpaceDN w:val="0"/>
              <w:adjustRightInd w:val="0"/>
              <w:spacing w:after="0"/>
              <w:ind w:firstLineChars="0"/>
              <w:textAlignment w:val="baseline"/>
              <w:rPr>
                <w:i/>
                <w:iCs/>
              </w:rPr>
            </w:pPr>
            <w:r w:rsidRPr="00047819">
              <w:rPr>
                <w:i/>
                <w:iCs/>
              </w:rPr>
              <w:t>Option 2: Consider a baseline compensation method for simulation efforts to account for the sampling frequency offset given the time-varying propagation delay.</w:t>
            </w:r>
          </w:p>
          <w:p w14:paraId="4F3E7B98" w14:textId="77777777" w:rsidR="00047819" w:rsidRPr="00047819" w:rsidRDefault="00047819" w:rsidP="00047819">
            <w:pPr>
              <w:pStyle w:val="a3"/>
              <w:numPr>
                <w:ilvl w:val="0"/>
                <w:numId w:val="36"/>
              </w:numPr>
              <w:spacing w:after="0"/>
              <w:ind w:left="720" w:firstLineChars="0"/>
              <w:rPr>
                <w:i/>
                <w:iCs/>
              </w:rPr>
            </w:pPr>
            <w:r w:rsidRPr="00047819">
              <w:rPr>
                <w:rFonts w:hint="eastAsia"/>
                <w:i/>
                <w:iCs/>
              </w:rPr>
              <w:t>Agreements:</w:t>
            </w:r>
            <w:r w:rsidRPr="00047819">
              <w:rPr>
                <w:i/>
                <w:iCs/>
              </w:rPr>
              <w:t xml:space="preserve"> </w:t>
            </w:r>
          </w:p>
          <w:p w14:paraId="2B184B57" w14:textId="77777777" w:rsidR="00047819" w:rsidRPr="00047819" w:rsidRDefault="00047819" w:rsidP="00047819">
            <w:pPr>
              <w:pStyle w:val="a3"/>
              <w:numPr>
                <w:ilvl w:val="1"/>
                <w:numId w:val="36"/>
              </w:numPr>
              <w:spacing w:after="0"/>
              <w:ind w:firstLineChars="0"/>
              <w:rPr>
                <w:i/>
                <w:szCs w:val="24"/>
              </w:rPr>
            </w:pPr>
            <w:r w:rsidRPr="00047819">
              <w:rPr>
                <w:i/>
                <w:szCs w:val="24"/>
              </w:rPr>
              <w:t xml:space="preserve">Option 1 by assuming UE compensation functionality covered by other requirements i.e., RF requirements </w:t>
            </w:r>
          </w:p>
          <w:p w14:paraId="351555A2" w14:textId="5DCA0AF1" w:rsidR="00047819" w:rsidRPr="00047819" w:rsidRDefault="00047819" w:rsidP="00047819">
            <w:pPr>
              <w:pStyle w:val="a3"/>
              <w:numPr>
                <w:ilvl w:val="2"/>
                <w:numId w:val="36"/>
              </w:numPr>
              <w:spacing w:after="0"/>
              <w:ind w:firstLineChars="0"/>
              <w:rPr>
                <w:i/>
                <w:szCs w:val="24"/>
              </w:rPr>
            </w:pPr>
            <w:r w:rsidRPr="00047819">
              <w:rPr>
                <w:i/>
                <w:szCs w:val="24"/>
              </w:rPr>
              <w:t>It’s FFS whether this already covered by other requirement (RF and or RRM); RAN4 can further discuss whether this need to be verified by demodulation requirements if RAN4 conclude it’s not covered by other requirements (RF and or RRM).</w:t>
            </w:r>
          </w:p>
        </w:tc>
      </w:tr>
    </w:tbl>
    <w:p w14:paraId="443AA8FF" w14:textId="4C80FA27" w:rsidR="00047819" w:rsidRDefault="00047819" w:rsidP="00047819">
      <w:pPr>
        <w:rPr>
          <w:rFonts w:eastAsia="Malgun Gothic"/>
          <w:lang w:eastAsia="ko-KR"/>
        </w:rPr>
      </w:pPr>
    </w:p>
    <w:p w14:paraId="0B0985BC" w14:textId="19DCA593" w:rsidR="0000653F" w:rsidRDefault="0000653F" w:rsidP="00047819">
      <w:pPr>
        <w:rPr>
          <w:rFonts w:eastAsiaTheme="minorEastAsia"/>
          <w:lang w:eastAsia="zh-CN"/>
        </w:rPr>
      </w:pPr>
      <w:r>
        <w:rPr>
          <w:rFonts w:eastAsiaTheme="minorEastAsia"/>
          <w:lang w:eastAsia="zh-CN"/>
        </w:rPr>
        <w:lastRenderedPageBreak/>
        <w:t xml:space="preserve">Similar as we discuss in clause 2.3, the timing error requirements has been already defined in RRM requirements. We don't see the necessity to </w:t>
      </w:r>
      <w:r w:rsidR="007A2BA7" w:rsidRPr="007A2BA7">
        <w:rPr>
          <w:rFonts w:eastAsiaTheme="minorEastAsia"/>
          <w:lang w:eastAsia="zh-CN"/>
        </w:rPr>
        <w:t>duplicate</w:t>
      </w:r>
      <w:r w:rsidR="007A2BA7">
        <w:rPr>
          <w:rFonts w:eastAsiaTheme="minorEastAsia"/>
          <w:lang w:eastAsia="zh-CN"/>
        </w:rPr>
        <w:t xml:space="preserve"> test it. W</w:t>
      </w:r>
      <w:r w:rsidRPr="0000653F">
        <w:rPr>
          <w:rFonts w:eastAsiaTheme="minorEastAsia"/>
          <w:lang w:eastAsia="zh-CN"/>
        </w:rPr>
        <w:t>e think UE compensation functionality is already covered by R</w:t>
      </w:r>
      <w:r w:rsidR="007A2BA7">
        <w:rPr>
          <w:rFonts w:eastAsiaTheme="minorEastAsia"/>
          <w:lang w:eastAsia="zh-CN"/>
        </w:rPr>
        <w:t>RM</w:t>
      </w:r>
      <w:r w:rsidRPr="0000653F">
        <w:rPr>
          <w:rFonts w:eastAsiaTheme="minorEastAsia"/>
          <w:lang w:eastAsia="zh-CN"/>
        </w:rPr>
        <w:t xml:space="preserve"> requirements and we prefer to not verify the UE compensation prior to the baseband processing.</w:t>
      </w:r>
    </w:p>
    <w:tbl>
      <w:tblPr>
        <w:tblStyle w:val="ae"/>
        <w:tblW w:w="0" w:type="auto"/>
        <w:tblLook w:val="04A0" w:firstRow="1" w:lastRow="0" w:firstColumn="1" w:lastColumn="0" w:noHBand="0" w:noVBand="1"/>
      </w:tblPr>
      <w:tblGrid>
        <w:gridCol w:w="10456"/>
      </w:tblGrid>
      <w:tr w:rsidR="004C393C" w:rsidRPr="004C393C" w14:paraId="589A91C1" w14:textId="77777777" w:rsidTr="004C393C">
        <w:tc>
          <w:tcPr>
            <w:tcW w:w="10456" w:type="dxa"/>
          </w:tcPr>
          <w:p w14:paraId="7A2716E3" w14:textId="50ADFE0B" w:rsidR="004C393C" w:rsidRPr="004C393C" w:rsidRDefault="004C393C" w:rsidP="004C393C">
            <w:pPr>
              <w:spacing w:after="0"/>
              <w:rPr>
                <w:i/>
              </w:rPr>
            </w:pPr>
            <w:r w:rsidRPr="004C393C">
              <w:rPr>
                <w:i/>
              </w:rPr>
              <w:t xml:space="preserve">The UE initial transmission timing error shall be less than or equal to </w:t>
            </w:r>
            <w:r w:rsidRPr="004C393C">
              <w:rPr>
                <w:rFonts w:cs="v4.2.0"/>
                <w:i/>
                <w:lang w:eastAsia="en-GB"/>
              </w:rPr>
              <w:sym w:font="Symbol" w:char="F0B1"/>
            </w:r>
            <w:r w:rsidRPr="004C393C">
              <w:rPr>
                <w:i/>
              </w:rPr>
              <w:t>Te_NTN where the timing error limit value Te_NTN is specified in Table 7.1C.2-1.</w:t>
            </w:r>
          </w:p>
          <w:p w14:paraId="4B673056" w14:textId="77777777" w:rsidR="004C393C" w:rsidRPr="004C393C" w:rsidRDefault="004C393C" w:rsidP="004C393C">
            <w:pPr>
              <w:keepNext/>
              <w:keepLines/>
              <w:overflowPunct w:val="0"/>
              <w:autoSpaceDE w:val="0"/>
              <w:autoSpaceDN w:val="0"/>
              <w:adjustRightInd w:val="0"/>
              <w:spacing w:before="60" w:after="0"/>
              <w:jc w:val="center"/>
              <w:textAlignment w:val="baseline"/>
              <w:rPr>
                <w:rFonts w:ascii="Arial" w:eastAsia="Times New Roman" w:hAnsi="Arial"/>
                <w:b/>
                <w:i/>
                <w:lang w:eastAsia="en-GB"/>
              </w:rPr>
            </w:pPr>
            <w:r w:rsidRPr="004C393C">
              <w:rPr>
                <w:rFonts w:ascii="Arial" w:eastAsia="Times New Roman" w:hAnsi="Arial"/>
                <w:b/>
                <w:i/>
                <w:lang w:eastAsia="en-GB"/>
              </w:rPr>
              <w:t>Table 7.1C.2-1: T</w:t>
            </w:r>
            <w:r w:rsidRPr="004C393C">
              <w:rPr>
                <w:rFonts w:ascii="Arial" w:eastAsia="Times New Roman" w:hAnsi="Arial"/>
                <w:b/>
                <w:i/>
                <w:vertAlign w:val="subscript"/>
                <w:lang w:eastAsia="en-GB"/>
              </w:rPr>
              <w:t>e_NTN</w:t>
            </w:r>
            <w:r w:rsidRPr="004C393C">
              <w:rPr>
                <w:rFonts w:ascii="Arial" w:eastAsia="Times New Roman" w:hAnsi="Arial"/>
                <w:b/>
                <w:i/>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619"/>
              <w:gridCol w:w="1620"/>
              <w:gridCol w:w="1924"/>
            </w:tblGrid>
            <w:tr w:rsidR="004C393C" w:rsidRPr="004C393C" w14:paraId="14173E5E" w14:textId="77777777" w:rsidTr="007006FA">
              <w:trPr>
                <w:cantSplit/>
                <w:jc w:val="center"/>
              </w:trPr>
              <w:tc>
                <w:tcPr>
                  <w:tcW w:w="1033" w:type="pct"/>
                  <w:vAlign w:val="center"/>
                </w:tcPr>
                <w:p w14:paraId="50B621D7"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b/>
                      <w:i/>
                      <w:sz w:val="18"/>
                      <w:lang w:eastAsia="en-GB"/>
                    </w:rPr>
                  </w:pPr>
                  <w:r w:rsidRPr="004C393C">
                    <w:rPr>
                      <w:rFonts w:ascii="Arial" w:hAnsi="Arial"/>
                      <w:b/>
                      <w:i/>
                      <w:sz w:val="18"/>
                      <w:lang w:eastAsia="en-GB"/>
                    </w:rPr>
                    <w:t>Frequency Range</w:t>
                  </w:r>
                </w:p>
              </w:tc>
              <w:tc>
                <w:tcPr>
                  <w:tcW w:w="1244" w:type="pct"/>
                  <w:vAlign w:val="center"/>
                </w:tcPr>
                <w:p w14:paraId="763D23B2"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b/>
                      <w:i/>
                      <w:sz w:val="18"/>
                      <w:lang w:eastAsia="en-GB"/>
                    </w:rPr>
                  </w:pPr>
                  <w:r w:rsidRPr="004C393C">
                    <w:rPr>
                      <w:rFonts w:ascii="Arial" w:hAnsi="Arial"/>
                      <w:b/>
                      <w:i/>
                      <w:sz w:val="18"/>
                      <w:lang w:eastAsia="en-GB"/>
                    </w:rPr>
                    <w:t>SCS of SSB signals (kHz)</w:t>
                  </w:r>
                </w:p>
              </w:tc>
              <w:tc>
                <w:tcPr>
                  <w:tcW w:w="1245" w:type="pct"/>
                  <w:vAlign w:val="center"/>
                </w:tcPr>
                <w:p w14:paraId="228F67C4"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b/>
                      <w:i/>
                      <w:sz w:val="18"/>
                      <w:lang w:eastAsia="en-GB"/>
                    </w:rPr>
                  </w:pPr>
                  <w:r w:rsidRPr="004C393C">
                    <w:rPr>
                      <w:rFonts w:ascii="Arial" w:hAnsi="Arial"/>
                      <w:b/>
                      <w:i/>
                      <w:sz w:val="18"/>
                      <w:lang w:eastAsia="en-GB"/>
                    </w:rPr>
                    <w:t>SCS of uplink signals (kHz)</w:t>
                  </w:r>
                </w:p>
              </w:tc>
              <w:tc>
                <w:tcPr>
                  <w:tcW w:w="1478" w:type="pct"/>
                  <w:vAlign w:val="center"/>
                </w:tcPr>
                <w:p w14:paraId="728C86AB"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b/>
                      <w:i/>
                      <w:sz w:val="18"/>
                      <w:lang w:eastAsia="en-GB"/>
                    </w:rPr>
                  </w:pPr>
                  <w:r w:rsidRPr="004C393C">
                    <w:rPr>
                      <w:rFonts w:ascii="Arial" w:hAnsi="Arial"/>
                      <w:b/>
                      <w:i/>
                      <w:sz w:val="18"/>
                      <w:lang w:eastAsia="en-GB"/>
                    </w:rPr>
                    <w:t>T</w:t>
                  </w:r>
                  <w:r w:rsidRPr="004C393C">
                    <w:rPr>
                      <w:rFonts w:ascii="Arial" w:hAnsi="Arial"/>
                      <w:b/>
                      <w:i/>
                      <w:sz w:val="18"/>
                      <w:vertAlign w:val="subscript"/>
                      <w:lang w:eastAsia="en-GB"/>
                    </w:rPr>
                    <w:t>e</w:t>
                  </w:r>
                </w:p>
              </w:tc>
            </w:tr>
            <w:tr w:rsidR="004C393C" w:rsidRPr="004C393C" w14:paraId="340A6F83" w14:textId="77777777" w:rsidTr="007006FA">
              <w:trPr>
                <w:cantSplit/>
                <w:jc w:val="center"/>
              </w:trPr>
              <w:tc>
                <w:tcPr>
                  <w:tcW w:w="1033" w:type="pct"/>
                  <w:tcBorders>
                    <w:bottom w:val="nil"/>
                  </w:tcBorders>
                  <w:vAlign w:val="center"/>
                </w:tcPr>
                <w:p w14:paraId="5AC05385"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1</w:t>
                  </w:r>
                </w:p>
              </w:tc>
              <w:tc>
                <w:tcPr>
                  <w:tcW w:w="1244" w:type="pct"/>
                  <w:tcBorders>
                    <w:bottom w:val="nil"/>
                  </w:tcBorders>
                  <w:vAlign w:val="center"/>
                </w:tcPr>
                <w:p w14:paraId="1F50F813"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15</w:t>
                  </w:r>
                </w:p>
              </w:tc>
              <w:tc>
                <w:tcPr>
                  <w:tcW w:w="1245" w:type="pct"/>
                </w:tcPr>
                <w:p w14:paraId="0049B3D1"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15</w:t>
                  </w:r>
                </w:p>
              </w:tc>
              <w:tc>
                <w:tcPr>
                  <w:tcW w:w="1478" w:type="pct"/>
                </w:tcPr>
                <w:p w14:paraId="26841445"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29*64*T</w:t>
                  </w:r>
                  <w:r w:rsidRPr="004C393C">
                    <w:rPr>
                      <w:rFonts w:ascii="Arial" w:hAnsi="Arial"/>
                      <w:i/>
                      <w:sz w:val="18"/>
                      <w:vertAlign w:val="subscript"/>
                      <w:lang w:eastAsia="en-GB"/>
                    </w:rPr>
                    <w:t>c</w:t>
                  </w:r>
                </w:p>
              </w:tc>
            </w:tr>
            <w:tr w:rsidR="004C393C" w:rsidRPr="004C393C" w14:paraId="3273455F" w14:textId="77777777" w:rsidTr="007006FA">
              <w:trPr>
                <w:cantSplit/>
                <w:jc w:val="center"/>
              </w:trPr>
              <w:tc>
                <w:tcPr>
                  <w:tcW w:w="1033" w:type="pct"/>
                  <w:tcBorders>
                    <w:top w:val="nil"/>
                    <w:bottom w:val="nil"/>
                  </w:tcBorders>
                  <w:vAlign w:val="center"/>
                </w:tcPr>
                <w:p w14:paraId="0F64D1A7"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4" w:type="pct"/>
                  <w:tcBorders>
                    <w:top w:val="nil"/>
                    <w:bottom w:val="nil"/>
                  </w:tcBorders>
                  <w:vAlign w:val="center"/>
                </w:tcPr>
                <w:p w14:paraId="29CBBE13"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5" w:type="pct"/>
                </w:tcPr>
                <w:p w14:paraId="0847A08B"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30</w:t>
                  </w:r>
                </w:p>
              </w:tc>
              <w:tc>
                <w:tcPr>
                  <w:tcW w:w="1478" w:type="pct"/>
                </w:tcPr>
                <w:p w14:paraId="3EE6AC78"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24*64*T</w:t>
                  </w:r>
                  <w:r w:rsidRPr="004C393C">
                    <w:rPr>
                      <w:rFonts w:ascii="Arial" w:hAnsi="Arial"/>
                      <w:i/>
                      <w:sz w:val="18"/>
                      <w:vertAlign w:val="subscript"/>
                      <w:lang w:eastAsia="en-GB"/>
                    </w:rPr>
                    <w:t>c</w:t>
                  </w:r>
                </w:p>
              </w:tc>
            </w:tr>
            <w:tr w:rsidR="004C393C" w:rsidRPr="004C393C" w14:paraId="420DC8D4" w14:textId="77777777" w:rsidTr="007006FA">
              <w:trPr>
                <w:cantSplit/>
                <w:jc w:val="center"/>
              </w:trPr>
              <w:tc>
                <w:tcPr>
                  <w:tcW w:w="1033" w:type="pct"/>
                  <w:tcBorders>
                    <w:top w:val="nil"/>
                    <w:bottom w:val="nil"/>
                  </w:tcBorders>
                  <w:vAlign w:val="center"/>
                </w:tcPr>
                <w:p w14:paraId="0B3915D2"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4" w:type="pct"/>
                  <w:tcBorders>
                    <w:top w:val="nil"/>
                  </w:tcBorders>
                  <w:vAlign w:val="center"/>
                </w:tcPr>
                <w:p w14:paraId="2806D7A2"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5" w:type="pct"/>
                </w:tcPr>
                <w:p w14:paraId="298B1A20"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60</w:t>
                  </w:r>
                </w:p>
              </w:tc>
              <w:tc>
                <w:tcPr>
                  <w:tcW w:w="1478" w:type="pct"/>
                </w:tcPr>
                <w:p w14:paraId="587600E9"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N/A</w:t>
                  </w:r>
                </w:p>
              </w:tc>
            </w:tr>
            <w:tr w:rsidR="004C393C" w:rsidRPr="004C393C" w14:paraId="0FD91461" w14:textId="77777777" w:rsidTr="007006FA">
              <w:trPr>
                <w:cantSplit/>
                <w:jc w:val="center"/>
              </w:trPr>
              <w:tc>
                <w:tcPr>
                  <w:tcW w:w="1033" w:type="pct"/>
                  <w:tcBorders>
                    <w:top w:val="nil"/>
                    <w:bottom w:val="nil"/>
                  </w:tcBorders>
                  <w:vAlign w:val="center"/>
                </w:tcPr>
                <w:p w14:paraId="25DE5338"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4" w:type="pct"/>
                  <w:tcBorders>
                    <w:bottom w:val="nil"/>
                  </w:tcBorders>
                  <w:vAlign w:val="center"/>
                </w:tcPr>
                <w:p w14:paraId="5D2B5BE4"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30</w:t>
                  </w:r>
                </w:p>
              </w:tc>
              <w:tc>
                <w:tcPr>
                  <w:tcW w:w="1245" w:type="pct"/>
                </w:tcPr>
                <w:p w14:paraId="63711DC8"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15</w:t>
                  </w:r>
                </w:p>
              </w:tc>
              <w:tc>
                <w:tcPr>
                  <w:tcW w:w="1478" w:type="pct"/>
                </w:tcPr>
                <w:p w14:paraId="05906756"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24*64*T</w:t>
                  </w:r>
                  <w:r w:rsidRPr="004C393C">
                    <w:rPr>
                      <w:rFonts w:ascii="Arial" w:hAnsi="Arial"/>
                      <w:i/>
                      <w:sz w:val="18"/>
                      <w:vertAlign w:val="subscript"/>
                      <w:lang w:eastAsia="en-GB"/>
                    </w:rPr>
                    <w:t>c</w:t>
                  </w:r>
                </w:p>
              </w:tc>
            </w:tr>
            <w:tr w:rsidR="004C393C" w:rsidRPr="004C393C" w14:paraId="350CC00E" w14:textId="77777777" w:rsidTr="007006FA">
              <w:trPr>
                <w:cantSplit/>
                <w:jc w:val="center"/>
              </w:trPr>
              <w:tc>
                <w:tcPr>
                  <w:tcW w:w="1033" w:type="pct"/>
                  <w:tcBorders>
                    <w:top w:val="nil"/>
                    <w:bottom w:val="nil"/>
                  </w:tcBorders>
                  <w:vAlign w:val="center"/>
                </w:tcPr>
                <w:p w14:paraId="15EF8151"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4" w:type="pct"/>
                  <w:tcBorders>
                    <w:top w:val="nil"/>
                    <w:bottom w:val="nil"/>
                  </w:tcBorders>
                  <w:vAlign w:val="center"/>
                </w:tcPr>
                <w:p w14:paraId="2040BD1F"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5" w:type="pct"/>
                </w:tcPr>
                <w:p w14:paraId="6EA406AE"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30</w:t>
                  </w:r>
                </w:p>
              </w:tc>
              <w:tc>
                <w:tcPr>
                  <w:tcW w:w="1478" w:type="pct"/>
                </w:tcPr>
                <w:p w14:paraId="25A138CC"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22*64*T</w:t>
                  </w:r>
                  <w:r w:rsidRPr="004C393C">
                    <w:rPr>
                      <w:rFonts w:ascii="Arial" w:hAnsi="Arial"/>
                      <w:i/>
                      <w:sz w:val="18"/>
                      <w:vertAlign w:val="subscript"/>
                      <w:lang w:eastAsia="en-GB"/>
                    </w:rPr>
                    <w:t>c</w:t>
                  </w:r>
                </w:p>
              </w:tc>
            </w:tr>
            <w:tr w:rsidR="004C393C" w:rsidRPr="004C393C" w14:paraId="077839D7" w14:textId="77777777" w:rsidTr="007006FA">
              <w:trPr>
                <w:cantSplit/>
                <w:jc w:val="center"/>
              </w:trPr>
              <w:tc>
                <w:tcPr>
                  <w:tcW w:w="1033" w:type="pct"/>
                  <w:tcBorders>
                    <w:top w:val="nil"/>
                    <w:bottom w:val="single" w:sz="4" w:space="0" w:color="auto"/>
                  </w:tcBorders>
                  <w:vAlign w:val="center"/>
                </w:tcPr>
                <w:p w14:paraId="453099AD"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4" w:type="pct"/>
                  <w:tcBorders>
                    <w:top w:val="nil"/>
                    <w:bottom w:val="single" w:sz="4" w:space="0" w:color="auto"/>
                  </w:tcBorders>
                  <w:vAlign w:val="center"/>
                </w:tcPr>
                <w:p w14:paraId="74844B59"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p>
              </w:tc>
              <w:tc>
                <w:tcPr>
                  <w:tcW w:w="1245" w:type="pct"/>
                </w:tcPr>
                <w:p w14:paraId="124B9CCE"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60</w:t>
                  </w:r>
                </w:p>
              </w:tc>
              <w:tc>
                <w:tcPr>
                  <w:tcW w:w="1478" w:type="pct"/>
                </w:tcPr>
                <w:p w14:paraId="79CB4DE5" w14:textId="77777777" w:rsidR="004C393C" w:rsidRPr="004C393C" w:rsidRDefault="004C393C" w:rsidP="004C393C">
                  <w:pPr>
                    <w:keepNext/>
                    <w:keepLines/>
                    <w:overflowPunct w:val="0"/>
                    <w:autoSpaceDE w:val="0"/>
                    <w:autoSpaceDN w:val="0"/>
                    <w:adjustRightInd w:val="0"/>
                    <w:spacing w:after="0"/>
                    <w:jc w:val="center"/>
                    <w:textAlignment w:val="baseline"/>
                    <w:rPr>
                      <w:rFonts w:ascii="Arial" w:hAnsi="Arial"/>
                      <w:i/>
                      <w:sz w:val="18"/>
                      <w:lang w:eastAsia="en-GB"/>
                    </w:rPr>
                  </w:pPr>
                  <w:r w:rsidRPr="004C393C">
                    <w:rPr>
                      <w:rFonts w:ascii="Arial" w:hAnsi="Arial"/>
                      <w:i/>
                      <w:sz w:val="18"/>
                      <w:lang w:eastAsia="en-GB"/>
                    </w:rPr>
                    <w:t>N/A</w:t>
                  </w:r>
                </w:p>
              </w:tc>
            </w:tr>
            <w:tr w:rsidR="004C393C" w:rsidRPr="004C393C" w14:paraId="49CADD14" w14:textId="77777777" w:rsidTr="007006FA">
              <w:trPr>
                <w:cantSplit/>
                <w:jc w:val="center"/>
              </w:trPr>
              <w:tc>
                <w:tcPr>
                  <w:tcW w:w="5000" w:type="pct"/>
                  <w:gridSpan w:val="4"/>
                </w:tcPr>
                <w:p w14:paraId="2A4F9319" w14:textId="77777777" w:rsidR="004C393C" w:rsidRPr="004C393C" w:rsidRDefault="004C393C" w:rsidP="004C393C">
                  <w:pPr>
                    <w:keepNext/>
                    <w:keepLines/>
                    <w:overflowPunct w:val="0"/>
                    <w:autoSpaceDE w:val="0"/>
                    <w:autoSpaceDN w:val="0"/>
                    <w:adjustRightInd w:val="0"/>
                    <w:spacing w:after="0"/>
                    <w:ind w:left="851" w:hanging="851"/>
                    <w:textAlignment w:val="baseline"/>
                    <w:rPr>
                      <w:rFonts w:ascii="Arial" w:hAnsi="Arial"/>
                      <w:i/>
                      <w:sz w:val="18"/>
                      <w:lang w:eastAsia="en-GB"/>
                    </w:rPr>
                  </w:pPr>
                  <w:r w:rsidRPr="004C393C">
                    <w:rPr>
                      <w:rFonts w:ascii="Arial" w:hAnsi="Arial" w:cs="Arial"/>
                      <w:i/>
                      <w:sz w:val="18"/>
                      <w:lang w:eastAsia="en-GB"/>
                    </w:rPr>
                    <w:t>Note</w:t>
                  </w:r>
                  <w:r w:rsidRPr="004C393C">
                    <w:rPr>
                      <w:rFonts w:ascii="Arial" w:hAnsi="Arial"/>
                      <w:i/>
                      <w:sz w:val="18"/>
                      <w:lang w:eastAsia="en-GB"/>
                    </w:rPr>
                    <w:t xml:space="preserve"> 1:</w:t>
                  </w:r>
                  <w:r w:rsidRPr="004C393C">
                    <w:rPr>
                      <w:rFonts w:ascii="Arial" w:hAnsi="Arial"/>
                      <w:i/>
                      <w:sz w:val="18"/>
                      <w:lang w:eastAsia="en-GB"/>
                    </w:rPr>
                    <w:tab/>
                    <w:t>T</w:t>
                  </w:r>
                  <w:r w:rsidRPr="004C393C">
                    <w:rPr>
                      <w:rFonts w:ascii="Arial" w:hAnsi="Arial"/>
                      <w:i/>
                      <w:sz w:val="18"/>
                      <w:vertAlign w:val="subscript"/>
                      <w:lang w:eastAsia="en-GB"/>
                    </w:rPr>
                    <w:t>c</w:t>
                  </w:r>
                  <w:r w:rsidRPr="004C393C">
                    <w:rPr>
                      <w:rFonts w:ascii="Arial" w:hAnsi="Arial"/>
                      <w:i/>
                      <w:sz w:val="18"/>
                      <w:lang w:eastAsia="en-GB"/>
                    </w:rPr>
                    <w:t xml:space="preserve"> is the basic timing unit defined in TS 38.211 [6]</w:t>
                  </w:r>
                </w:p>
              </w:tc>
            </w:tr>
          </w:tbl>
          <w:p w14:paraId="3E5B88C4" w14:textId="47FAC367" w:rsidR="004C393C" w:rsidRPr="004C393C" w:rsidRDefault="004C393C" w:rsidP="004C393C">
            <w:pPr>
              <w:spacing w:after="0"/>
              <w:rPr>
                <w:i/>
              </w:rPr>
            </w:pPr>
          </w:p>
        </w:tc>
      </w:tr>
    </w:tbl>
    <w:p w14:paraId="40C8A91B" w14:textId="3DF716C4" w:rsidR="00920FFB" w:rsidRPr="004C393C" w:rsidRDefault="00920FFB" w:rsidP="004C393C"/>
    <w:p w14:paraId="29CE2B34" w14:textId="2A5DDAA9" w:rsidR="0000653F" w:rsidRPr="007A2BA7" w:rsidRDefault="0000653F" w:rsidP="00047819">
      <w:pPr>
        <w:pStyle w:val="Proposal"/>
      </w:pPr>
      <w:r>
        <w:t xml:space="preserve">For </w:t>
      </w:r>
      <w:r w:rsidR="007A2BA7">
        <w:t>timing</w:t>
      </w:r>
      <w:r>
        <w:t xml:space="preserve">, </w:t>
      </w:r>
      <w:r w:rsidRPr="0000653F">
        <w:t>UE compensation functionality is already covered by R</w:t>
      </w:r>
      <w:r w:rsidR="007A2BA7">
        <w:t>RM</w:t>
      </w:r>
      <w:r w:rsidRPr="0000653F">
        <w:t xml:space="preserve"> requirements</w:t>
      </w:r>
      <w:r>
        <w:t xml:space="preserve">. Do </w:t>
      </w:r>
      <w:r w:rsidRPr="0000653F">
        <w:t>not verify the UE compensation prior to the baseband processing.</w:t>
      </w:r>
    </w:p>
    <w:p w14:paraId="48E574B5" w14:textId="317D7236" w:rsidR="00047819" w:rsidRDefault="00047819" w:rsidP="00047819">
      <w:pPr>
        <w:pStyle w:val="2"/>
        <w:rPr>
          <w:lang w:eastAsia="ko-KR"/>
        </w:rPr>
      </w:pPr>
      <w:r w:rsidRPr="00047819">
        <w:rPr>
          <w:lang w:eastAsia="ko-KR"/>
        </w:rPr>
        <w:t>Channel model parameter combination</w:t>
      </w:r>
    </w:p>
    <w:tbl>
      <w:tblPr>
        <w:tblStyle w:val="ae"/>
        <w:tblW w:w="0" w:type="auto"/>
        <w:tblLook w:val="04A0" w:firstRow="1" w:lastRow="0" w:firstColumn="1" w:lastColumn="0" w:noHBand="0" w:noVBand="1"/>
      </w:tblPr>
      <w:tblGrid>
        <w:gridCol w:w="10456"/>
      </w:tblGrid>
      <w:tr w:rsidR="00047819" w:rsidRPr="00047819" w14:paraId="1C1A45B8" w14:textId="77777777" w:rsidTr="00047819">
        <w:tc>
          <w:tcPr>
            <w:tcW w:w="10456" w:type="dxa"/>
          </w:tcPr>
          <w:p w14:paraId="737BF2AD" w14:textId="77777777" w:rsidR="00047819" w:rsidRPr="00047819" w:rsidRDefault="00047819" w:rsidP="00047819">
            <w:pPr>
              <w:pStyle w:val="a3"/>
              <w:numPr>
                <w:ilvl w:val="0"/>
                <w:numId w:val="36"/>
              </w:numPr>
              <w:spacing w:after="0"/>
              <w:ind w:left="720" w:firstLineChars="0"/>
              <w:rPr>
                <w:i/>
                <w:iCs/>
              </w:rPr>
            </w:pPr>
            <w:r w:rsidRPr="00047819">
              <w:rPr>
                <w:i/>
                <w:iCs/>
              </w:rPr>
              <w:t>Proposals</w:t>
            </w:r>
          </w:p>
          <w:p w14:paraId="7519D2DA" w14:textId="77777777" w:rsidR="00047819" w:rsidRPr="00047819" w:rsidRDefault="00047819" w:rsidP="00047819">
            <w:pPr>
              <w:pStyle w:val="a3"/>
              <w:numPr>
                <w:ilvl w:val="1"/>
                <w:numId w:val="36"/>
              </w:numPr>
              <w:spacing w:after="0"/>
              <w:ind w:firstLineChars="0"/>
              <w:rPr>
                <w:i/>
                <w:iCs/>
              </w:rPr>
            </w:pPr>
            <w:r w:rsidRPr="00047819">
              <w:rPr>
                <w:i/>
                <w:iCs/>
              </w:rPr>
              <w:t>Option 1: Take following channel parameter combination for NTN demodulation:</w:t>
            </w:r>
          </w:p>
          <w:p w14:paraId="7ABAE6B5" w14:textId="77777777" w:rsidR="00047819" w:rsidRPr="00047819" w:rsidRDefault="00047819" w:rsidP="00047819">
            <w:pPr>
              <w:pStyle w:val="a3"/>
              <w:numPr>
                <w:ilvl w:val="2"/>
                <w:numId w:val="36"/>
              </w:numPr>
              <w:overflowPunct w:val="0"/>
              <w:autoSpaceDE w:val="0"/>
              <w:autoSpaceDN w:val="0"/>
              <w:adjustRightInd w:val="0"/>
              <w:spacing w:after="0"/>
              <w:ind w:firstLineChars="0"/>
              <w:textAlignment w:val="baseline"/>
              <w:rPr>
                <w:i/>
                <w:iCs/>
              </w:rPr>
            </w:pPr>
            <w:r w:rsidRPr="00047819">
              <w:rPr>
                <w:i/>
                <w:iCs/>
              </w:rPr>
              <w:t>NTN-TDLX &lt;DS&gt;-&lt;Fd&gt;-&lt;Doppler&gt;</w:t>
            </w:r>
          </w:p>
          <w:p w14:paraId="6F31B526" w14:textId="77777777" w:rsidR="00047819" w:rsidRPr="00047819" w:rsidRDefault="00047819" w:rsidP="00047819">
            <w:pPr>
              <w:pStyle w:val="a3"/>
              <w:numPr>
                <w:ilvl w:val="2"/>
                <w:numId w:val="36"/>
              </w:numPr>
              <w:overflowPunct w:val="0"/>
              <w:autoSpaceDE w:val="0"/>
              <w:autoSpaceDN w:val="0"/>
              <w:adjustRightInd w:val="0"/>
              <w:spacing w:after="0"/>
              <w:ind w:firstLineChars="0"/>
              <w:textAlignment w:val="baseline"/>
              <w:rPr>
                <w:i/>
                <w:iCs/>
              </w:rPr>
            </w:pPr>
            <w:r w:rsidRPr="00047819">
              <w:rPr>
                <w:i/>
                <w:iCs/>
              </w:rPr>
              <w:t>Where, NTN-TDLX represents the tap delay profile based on a certain TDL-X channel model with a certain satellite elevation angle, DS is the desired delay spread, Fd is frequency shift in both service link and feed link, and Doppler is the maximum Doppler shift caused by UE motion.</w:t>
            </w:r>
          </w:p>
          <w:p w14:paraId="60FF5555" w14:textId="77777777" w:rsidR="00047819" w:rsidRPr="00047819" w:rsidRDefault="00047819" w:rsidP="00047819">
            <w:pPr>
              <w:pStyle w:val="a3"/>
              <w:numPr>
                <w:ilvl w:val="1"/>
                <w:numId w:val="36"/>
              </w:numPr>
              <w:overflowPunct w:val="0"/>
              <w:autoSpaceDE w:val="0"/>
              <w:autoSpaceDN w:val="0"/>
              <w:adjustRightInd w:val="0"/>
              <w:spacing w:after="0"/>
              <w:ind w:firstLineChars="0"/>
              <w:textAlignment w:val="baseline"/>
              <w:rPr>
                <w:i/>
                <w:iCs/>
              </w:rPr>
            </w:pPr>
            <w:r w:rsidRPr="00047819">
              <w:rPr>
                <w:i/>
                <w:iCs/>
              </w:rPr>
              <w:t>Option 2: other option if any</w:t>
            </w:r>
          </w:p>
          <w:p w14:paraId="3E7998B0" w14:textId="77777777" w:rsidR="00047819" w:rsidRPr="00047819" w:rsidRDefault="00047819" w:rsidP="00047819">
            <w:pPr>
              <w:pStyle w:val="a3"/>
              <w:numPr>
                <w:ilvl w:val="0"/>
                <w:numId w:val="36"/>
              </w:numPr>
              <w:spacing w:after="0"/>
              <w:ind w:left="720" w:firstLineChars="0"/>
              <w:rPr>
                <w:i/>
                <w:iCs/>
              </w:rPr>
            </w:pPr>
            <w:r w:rsidRPr="00047819">
              <w:rPr>
                <w:rFonts w:hint="eastAsia"/>
                <w:i/>
                <w:iCs/>
              </w:rPr>
              <w:t>A</w:t>
            </w:r>
            <w:r w:rsidRPr="00047819">
              <w:rPr>
                <w:i/>
                <w:iCs/>
              </w:rPr>
              <w:t xml:space="preserve">greements: </w:t>
            </w:r>
          </w:p>
          <w:p w14:paraId="24F31285" w14:textId="4CFFD86B" w:rsidR="00047819" w:rsidRPr="00047819" w:rsidRDefault="00047819" w:rsidP="00047819">
            <w:pPr>
              <w:pStyle w:val="a3"/>
              <w:numPr>
                <w:ilvl w:val="1"/>
                <w:numId w:val="36"/>
              </w:numPr>
              <w:spacing w:after="0"/>
              <w:ind w:firstLineChars="0"/>
              <w:rPr>
                <w:i/>
                <w:szCs w:val="24"/>
              </w:rPr>
            </w:pPr>
            <w:r w:rsidRPr="00047819">
              <w:rPr>
                <w:i/>
                <w:szCs w:val="24"/>
              </w:rPr>
              <w:t>Further discuss in next meeting.</w:t>
            </w:r>
          </w:p>
        </w:tc>
      </w:tr>
    </w:tbl>
    <w:p w14:paraId="34934BDF" w14:textId="39C871A2" w:rsidR="00047819" w:rsidRDefault="00047819" w:rsidP="00047819">
      <w:pPr>
        <w:rPr>
          <w:rFonts w:eastAsia="Malgun Gothic"/>
          <w:lang w:eastAsia="ko-KR"/>
        </w:rPr>
      </w:pPr>
    </w:p>
    <w:p w14:paraId="59BC19C2" w14:textId="42FBA365" w:rsidR="00047819" w:rsidRDefault="00386515" w:rsidP="00047819">
      <w:pPr>
        <w:rPr>
          <w:rFonts w:eastAsiaTheme="minorEastAsia"/>
          <w:lang w:eastAsia="zh-CN"/>
        </w:rPr>
      </w:pPr>
      <w:r>
        <w:rPr>
          <w:rFonts w:eastAsiaTheme="minorEastAsia"/>
          <w:lang w:eastAsia="zh-CN"/>
        </w:rPr>
        <w:t xml:space="preserve">Assuming that the </w:t>
      </w:r>
      <w:r w:rsidRPr="00386515">
        <w:rPr>
          <w:rFonts w:eastAsiaTheme="minorEastAsia"/>
          <w:lang w:eastAsia="zh-CN"/>
        </w:rPr>
        <w:t>UE compensation prior to the baseband processing</w:t>
      </w:r>
      <w:r>
        <w:rPr>
          <w:rFonts w:eastAsiaTheme="minorEastAsia"/>
          <w:lang w:eastAsia="zh-CN"/>
        </w:rPr>
        <w:t xml:space="preserve"> is not verified, it is better to use the legacy structure for </w:t>
      </w:r>
      <w:r w:rsidRPr="00386515">
        <w:rPr>
          <w:rFonts w:eastAsiaTheme="minorEastAsia"/>
          <w:lang w:eastAsia="zh-CN"/>
        </w:rPr>
        <w:t>channel parameter combination</w:t>
      </w:r>
      <w:r>
        <w:rPr>
          <w:rFonts w:eastAsiaTheme="minorEastAsia"/>
          <w:lang w:eastAsia="zh-CN"/>
        </w:rPr>
        <w:t xml:space="preserve">, i.e. </w:t>
      </w:r>
      <w:r w:rsidRPr="00386515">
        <w:rPr>
          <w:rFonts w:eastAsiaTheme="minorEastAsia"/>
          <w:lang w:eastAsia="zh-CN"/>
        </w:rPr>
        <w:t>NTN-TDLX &lt;DS&gt;-&lt;Fd&gt;</w:t>
      </w:r>
      <w:r>
        <w:rPr>
          <w:rFonts w:eastAsiaTheme="minorEastAsia"/>
          <w:lang w:eastAsia="zh-CN"/>
        </w:rPr>
        <w:t>.</w:t>
      </w:r>
    </w:p>
    <w:p w14:paraId="4AB83720" w14:textId="5FA170EF" w:rsidR="00386515" w:rsidRPr="00386515" w:rsidRDefault="00386515" w:rsidP="00386515">
      <w:pPr>
        <w:pStyle w:val="Proposal"/>
      </w:pPr>
      <w:r>
        <w:rPr>
          <w:rFonts w:hint="eastAsia"/>
        </w:rPr>
        <w:t>U</w:t>
      </w:r>
      <w:r>
        <w:t xml:space="preserve">se </w:t>
      </w:r>
      <w:r w:rsidRPr="00386515">
        <w:t>NTN-TDLX &lt;DS&gt;-&lt;Fd&gt;</w:t>
      </w:r>
      <w:r>
        <w:t xml:space="preserve"> for </w:t>
      </w:r>
      <w:r w:rsidRPr="00386515">
        <w:t>channel parameter combination for NTN demodulation</w:t>
      </w:r>
      <w:r>
        <w:t>.</w:t>
      </w:r>
    </w:p>
    <w:p w14:paraId="5421B37A" w14:textId="51F98C66" w:rsidR="00047819" w:rsidRDefault="00047819" w:rsidP="00047819">
      <w:pPr>
        <w:pStyle w:val="2"/>
        <w:rPr>
          <w:lang w:eastAsia="ko-KR"/>
        </w:rPr>
      </w:pPr>
      <w:r w:rsidRPr="00047819">
        <w:rPr>
          <w:lang w:eastAsia="ko-KR"/>
        </w:rPr>
        <w:t>Channel model k-factor</w:t>
      </w:r>
    </w:p>
    <w:tbl>
      <w:tblPr>
        <w:tblStyle w:val="ae"/>
        <w:tblW w:w="0" w:type="auto"/>
        <w:tblLook w:val="04A0" w:firstRow="1" w:lastRow="0" w:firstColumn="1" w:lastColumn="0" w:noHBand="0" w:noVBand="1"/>
      </w:tblPr>
      <w:tblGrid>
        <w:gridCol w:w="10456"/>
      </w:tblGrid>
      <w:tr w:rsidR="00047819" w:rsidRPr="00047819" w14:paraId="654A22F5" w14:textId="77777777" w:rsidTr="00047819">
        <w:tc>
          <w:tcPr>
            <w:tcW w:w="10456" w:type="dxa"/>
          </w:tcPr>
          <w:p w14:paraId="46ECBE70" w14:textId="77777777" w:rsidR="00047819" w:rsidRPr="00047819" w:rsidRDefault="00047819" w:rsidP="00047819">
            <w:pPr>
              <w:pStyle w:val="a3"/>
              <w:numPr>
                <w:ilvl w:val="0"/>
                <w:numId w:val="36"/>
              </w:numPr>
              <w:spacing w:after="0"/>
              <w:ind w:left="720" w:firstLineChars="0"/>
              <w:rPr>
                <w:i/>
                <w:iCs/>
              </w:rPr>
            </w:pPr>
            <w:r w:rsidRPr="00047819">
              <w:rPr>
                <w:i/>
                <w:iCs/>
              </w:rPr>
              <w:t>Proposals</w:t>
            </w:r>
          </w:p>
          <w:p w14:paraId="0352A276" w14:textId="77777777" w:rsidR="00047819" w:rsidRPr="00047819" w:rsidRDefault="00047819" w:rsidP="00047819">
            <w:pPr>
              <w:pStyle w:val="a3"/>
              <w:numPr>
                <w:ilvl w:val="1"/>
                <w:numId w:val="36"/>
              </w:numPr>
              <w:spacing w:after="0"/>
              <w:ind w:firstLineChars="0"/>
              <w:rPr>
                <w:i/>
                <w:iCs/>
              </w:rPr>
            </w:pPr>
            <w:r w:rsidRPr="00047819">
              <w:rPr>
                <w:i/>
                <w:iCs/>
              </w:rPr>
              <w:t>Option 1: Channel model k-factor: 21.6.</w:t>
            </w:r>
          </w:p>
          <w:p w14:paraId="142F3F31" w14:textId="77777777" w:rsidR="00047819" w:rsidRPr="00047819" w:rsidRDefault="00047819" w:rsidP="00047819">
            <w:pPr>
              <w:pStyle w:val="a3"/>
              <w:numPr>
                <w:ilvl w:val="1"/>
                <w:numId w:val="36"/>
              </w:numPr>
              <w:overflowPunct w:val="0"/>
              <w:autoSpaceDE w:val="0"/>
              <w:autoSpaceDN w:val="0"/>
              <w:adjustRightInd w:val="0"/>
              <w:spacing w:after="0"/>
              <w:ind w:firstLineChars="0"/>
              <w:textAlignment w:val="baseline"/>
              <w:rPr>
                <w:i/>
                <w:iCs/>
              </w:rPr>
            </w:pPr>
            <w:r w:rsidRPr="00047819">
              <w:rPr>
                <w:i/>
                <w:iCs/>
              </w:rPr>
              <w:t>Option 2: other option if any.</w:t>
            </w:r>
          </w:p>
          <w:p w14:paraId="739808BA" w14:textId="77777777" w:rsidR="00047819" w:rsidRPr="00047819" w:rsidRDefault="00047819" w:rsidP="00047819">
            <w:pPr>
              <w:pStyle w:val="a3"/>
              <w:numPr>
                <w:ilvl w:val="0"/>
                <w:numId w:val="36"/>
              </w:numPr>
              <w:spacing w:after="0"/>
              <w:ind w:left="720" w:firstLineChars="0"/>
              <w:rPr>
                <w:i/>
                <w:iCs/>
              </w:rPr>
            </w:pPr>
            <w:r w:rsidRPr="00047819">
              <w:rPr>
                <w:rFonts w:hint="eastAsia"/>
                <w:i/>
                <w:iCs/>
              </w:rPr>
              <w:t>A</w:t>
            </w:r>
            <w:r w:rsidRPr="00047819">
              <w:rPr>
                <w:i/>
                <w:iCs/>
              </w:rPr>
              <w:t xml:space="preserve">greements: </w:t>
            </w:r>
          </w:p>
          <w:p w14:paraId="14D90965" w14:textId="6C53A9B8" w:rsidR="00047819" w:rsidRPr="00047819" w:rsidRDefault="00047819" w:rsidP="00047819">
            <w:pPr>
              <w:pStyle w:val="a3"/>
              <w:numPr>
                <w:ilvl w:val="1"/>
                <w:numId w:val="36"/>
              </w:numPr>
              <w:spacing w:after="0"/>
              <w:ind w:firstLineChars="0"/>
              <w:rPr>
                <w:i/>
                <w:szCs w:val="24"/>
              </w:rPr>
            </w:pPr>
            <w:r w:rsidRPr="00047819">
              <w:rPr>
                <w:i/>
                <w:szCs w:val="24"/>
              </w:rPr>
              <w:t>Further discuss in next meeting.</w:t>
            </w:r>
          </w:p>
        </w:tc>
      </w:tr>
    </w:tbl>
    <w:p w14:paraId="6D8C04E3" w14:textId="2FA45E85" w:rsidR="00047819" w:rsidRDefault="00047819" w:rsidP="00047819">
      <w:pPr>
        <w:rPr>
          <w:rFonts w:eastAsia="Malgun Gothic"/>
          <w:lang w:eastAsia="ko-KR"/>
        </w:rPr>
      </w:pPr>
    </w:p>
    <w:p w14:paraId="4FCAD714" w14:textId="32398C3D" w:rsidR="00047819" w:rsidRDefault="007A2BA7" w:rsidP="00047819">
      <w:pPr>
        <w:rPr>
          <w:rFonts w:eastAsiaTheme="minorEastAsia"/>
          <w:lang w:eastAsia="zh-CN"/>
        </w:rPr>
      </w:pPr>
      <w:r>
        <w:rPr>
          <w:rFonts w:eastAsiaTheme="minorEastAsia"/>
          <w:lang w:eastAsia="zh-CN"/>
        </w:rPr>
        <w:lastRenderedPageBreak/>
        <w:t>Similar a</w:t>
      </w:r>
      <w:r w:rsidR="001A09D0">
        <w:rPr>
          <w:rFonts w:eastAsiaTheme="minorEastAsia"/>
          <w:lang w:eastAsia="zh-CN"/>
        </w:rPr>
        <w:t>s we discuss in clause 2.2, a</w:t>
      </w:r>
      <w:r w:rsidR="001A09D0" w:rsidRPr="001A09D0">
        <w:rPr>
          <w:rFonts w:eastAsiaTheme="minorEastAsia"/>
          <w:lang w:eastAsia="zh-CN"/>
        </w:rPr>
        <w:t xml:space="preserve">ssuming that the UE compensation prior to the baseband processing is not verified, we don’t see big difference for different elevation angle from the demodulation point of view. Therefore, we prefer to </w:t>
      </w:r>
      <w:r>
        <w:rPr>
          <w:rFonts w:eastAsiaTheme="minorEastAsia"/>
          <w:lang w:eastAsia="zh-CN"/>
        </w:rPr>
        <w:t xml:space="preserve">keep previous </w:t>
      </w:r>
      <w:r w:rsidR="00485636" w:rsidRPr="00485636">
        <w:rPr>
          <w:rFonts w:eastAsiaTheme="minorEastAsia"/>
          <w:lang w:eastAsia="zh-CN"/>
        </w:rPr>
        <w:t>k-factor</w:t>
      </w:r>
      <w:r w:rsidR="00632285">
        <w:rPr>
          <w:rFonts w:eastAsiaTheme="minorEastAsia"/>
          <w:lang w:eastAsia="zh-CN"/>
        </w:rPr>
        <w:t xml:space="preserve"> </w:t>
      </w:r>
      <w:r w:rsidR="001A09D0" w:rsidRPr="001A09D0">
        <w:rPr>
          <w:rFonts w:eastAsiaTheme="minorEastAsia"/>
          <w:lang w:eastAsia="zh-CN"/>
        </w:rPr>
        <w:t>for NTN demodulation requirements.</w:t>
      </w:r>
    </w:p>
    <w:p w14:paraId="64C5CF22" w14:textId="6B49A1E6" w:rsidR="00632285" w:rsidRPr="001A09D0" w:rsidRDefault="00632285" w:rsidP="00632285">
      <w:pPr>
        <w:pStyle w:val="Proposal"/>
      </w:pPr>
      <w:r>
        <w:t>K</w:t>
      </w:r>
      <w:r w:rsidRPr="00632285">
        <w:t>eep previous k-factor for NTN demodulation requirements.</w:t>
      </w:r>
    </w:p>
    <w:p w14:paraId="298DE324"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434FB744" w14:textId="36DC7C5E"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3A44C5" w:rsidRPr="003A44C5">
        <w:rPr>
          <w:lang w:val="en-US" w:eastAsia="zh-CN"/>
        </w:rPr>
        <w:t xml:space="preserve">general issues </w:t>
      </w:r>
      <w:r w:rsidR="003A44C5">
        <w:rPr>
          <w:lang w:val="en-US" w:eastAsia="zh-CN"/>
        </w:rPr>
        <w:t>for NTN</w:t>
      </w:r>
      <w:r w:rsidR="007C6200">
        <w:rPr>
          <w:lang w:val="en-US" w:eastAsia="zh-CN"/>
        </w:rPr>
        <w:t xml:space="preserve"> </w:t>
      </w:r>
      <w:r w:rsidR="003A44C5">
        <w:rPr>
          <w:lang w:val="en-US" w:eastAsia="zh-CN"/>
        </w:rPr>
        <w:t>demodulation</w:t>
      </w:r>
      <w:r w:rsidRPr="006551CC">
        <w:rPr>
          <w:lang w:val="en-US" w:eastAsia="zh-CN"/>
        </w:rPr>
        <w:t xml:space="preserve"> </w:t>
      </w:r>
      <w:r w:rsidR="00B93693" w:rsidRPr="006551CC">
        <w:rPr>
          <w:lang w:val="en-US" w:eastAsia="zh-CN"/>
        </w:rPr>
        <w:t>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50757DB9" w14:textId="77777777" w:rsidR="00632285" w:rsidRDefault="00632285" w:rsidP="00632285">
      <w:pPr>
        <w:pStyle w:val="Proposal"/>
        <w:numPr>
          <w:ilvl w:val="0"/>
          <w:numId w:val="38"/>
        </w:numPr>
      </w:pPr>
      <w:r>
        <w:t>K</w:t>
      </w:r>
      <w:r w:rsidRPr="001A09D0">
        <w:t>eep previous agreements about the delay and Doppler configuration for NTN demodulation requirements.</w:t>
      </w:r>
    </w:p>
    <w:p w14:paraId="4664F7B3" w14:textId="77777777" w:rsidR="00632285" w:rsidRDefault="00632285" w:rsidP="00632285">
      <w:pPr>
        <w:pStyle w:val="Proposal"/>
      </w:pPr>
      <w:r>
        <w:t>D</w:t>
      </w:r>
      <w:r w:rsidRPr="00A3245F">
        <w:t>o not explicitly specify the detailed elevation angle for NTN demodulation requirements.</w:t>
      </w:r>
    </w:p>
    <w:p w14:paraId="2A7F7189" w14:textId="77777777" w:rsidR="00632285" w:rsidRDefault="00632285" w:rsidP="00632285">
      <w:pPr>
        <w:pStyle w:val="Proposal"/>
      </w:pPr>
      <w:r>
        <w:t xml:space="preserve">For Doppler, </w:t>
      </w:r>
      <w:r w:rsidRPr="0000653F">
        <w:t>UE compensation functionality is already covered by RF requirements</w:t>
      </w:r>
      <w:r>
        <w:t xml:space="preserve">. Do </w:t>
      </w:r>
      <w:r w:rsidRPr="0000653F">
        <w:t>not verify the UE compensation prior to the baseband processing.</w:t>
      </w:r>
    </w:p>
    <w:p w14:paraId="763350A2" w14:textId="77777777" w:rsidR="00632285" w:rsidRPr="007A2BA7" w:rsidRDefault="00632285" w:rsidP="00632285">
      <w:pPr>
        <w:pStyle w:val="Proposal"/>
      </w:pPr>
      <w:r>
        <w:t xml:space="preserve">For timing, </w:t>
      </w:r>
      <w:r w:rsidRPr="0000653F">
        <w:t>UE compensation functionality is already covered by R</w:t>
      </w:r>
      <w:r>
        <w:t>RM</w:t>
      </w:r>
      <w:r w:rsidRPr="0000653F">
        <w:t xml:space="preserve"> requirements</w:t>
      </w:r>
      <w:r>
        <w:t xml:space="preserve">. Do </w:t>
      </w:r>
      <w:r w:rsidRPr="0000653F">
        <w:t>not verify the UE compensation prior to the baseband processing.</w:t>
      </w:r>
    </w:p>
    <w:p w14:paraId="29A95C13" w14:textId="77777777" w:rsidR="00632285" w:rsidRPr="00386515" w:rsidRDefault="00632285" w:rsidP="00632285">
      <w:pPr>
        <w:pStyle w:val="Proposal"/>
      </w:pPr>
      <w:r>
        <w:rPr>
          <w:rFonts w:hint="eastAsia"/>
        </w:rPr>
        <w:t>U</w:t>
      </w:r>
      <w:r>
        <w:t xml:space="preserve">se </w:t>
      </w:r>
      <w:r w:rsidRPr="00386515">
        <w:t>NTN-TDLX &lt;DS&gt;-&lt;Fd&gt;</w:t>
      </w:r>
      <w:r>
        <w:t xml:space="preserve"> for </w:t>
      </w:r>
      <w:r w:rsidRPr="00386515">
        <w:t>channel parameter combination for NTN demodulation</w:t>
      </w:r>
      <w:r>
        <w:t>.</w:t>
      </w:r>
    </w:p>
    <w:p w14:paraId="439BF0E6" w14:textId="66F565B6" w:rsidR="00632285" w:rsidRPr="00632285" w:rsidRDefault="00632285" w:rsidP="008727FE">
      <w:pPr>
        <w:pStyle w:val="Proposal"/>
      </w:pPr>
      <w:r>
        <w:t>K</w:t>
      </w:r>
      <w:r w:rsidRPr="00632285">
        <w:t>eep previous k-factor for NTN demodulation requirements.</w:t>
      </w:r>
    </w:p>
    <w:p w14:paraId="226CF649"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2AA4319C" w14:textId="007795B7" w:rsidR="004A067A" w:rsidRDefault="004A067A" w:rsidP="004A067A">
      <w:pPr>
        <w:pStyle w:val="Reference"/>
        <w:ind w:left="400" w:hanging="400"/>
        <w:rPr>
          <w:lang w:val="en-US" w:eastAsia="zh-CN"/>
        </w:rPr>
      </w:pPr>
      <w:bookmarkStart w:id="3" w:name="_Ref92466078"/>
      <w:bookmarkStart w:id="4" w:name="_Ref95377570"/>
      <w:r w:rsidRPr="00954EA3">
        <w:rPr>
          <w:lang w:val="en-US" w:eastAsia="zh-CN"/>
        </w:rPr>
        <w:t>R</w:t>
      </w:r>
      <w:r>
        <w:rPr>
          <w:lang w:val="en-US" w:eastAsia="zh-CN"/>
        </w:rPr>
        <w:t>4-22</w:t>
      </w:r>
      <w:r w:rsidR="00236AEE">
        <w:rPr>
          <w:lang w:val="en-US" w:eastAsia="zh-CN"/>
        </w:rPr>
        <w:t>10661</w:t>
      </w:r>
      <w:r w:rsidRPr="006551CC">
        <w:rPr>
          <w:lang w:val="en-US" w:eastAsia="zh-CN"/>
        </w:rPr>
        <w:t xml:space="preserve">, </w:t>
      </w:r>
      <w:r w:rsidRPr="00B311A7">
        <w:rPr>
          <w:lang w:val="en-US" w:eastAsia="zh-CN"/>
        </w:rPr>
        <w:t xml:space="preserve">WF </w:t>
      </w:r>
      <w:r w:rsidR="00236AEE" w:rsidRPr="00236AEE">
        <w:rPr>
          <w:lang w:val="en-US" w:eastAsia="zh-CN"/>
        </w:rPr>
        <w:t>on NTN demodulation requirements – general and PDSCH,</w:t>
      </w:r>
      <w:r>
        <w:rPr>
          <w:lang w:val="en-US" w:eastAsia="zh-CN"/>
        </w:rPr>
        <w:t xml:space="preserve"> RAN4#10</w:t>
      </w:r>
      <w:r w:rsidR="00236AEE">
        <w:rPr>
          <w:lang w:val="en-US" w:eastAsia="zh-CN"/>
        </w:rPr>
        <w:t>3</w:t>
      </w:r>
      <w:r>
        <w:rPr>
          <w:lang w:val="en-US" w:eastAsia="zh-CN"/>
        </w:rPr>
        <w:t xml:space="preserve">-e, </w:t>
      </w:r>
      <w:bookmarkEnd w:id="3"/>
      <w:r w:rsidRPr="00B311A7">
        <w:rPr>
          <w:lang w:val="en-US" w:eastAsia="zh-CN"/>
        </w:rPr>
        <w:t>Qualcomm Incorporated</w:t>
      </w:r>
      <w:bookmarkEnd w:id="4"/>
    </w:p>
    <w:p w14:paraId="7A204E8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8D1D0" w14:textId="77777777" w:rsidR="00C058B3" w:rsidRDefault="00C058B3" w:rsidP="009163A1">
      <w:pPr>
        <w:spacing w:after="0"/>
      </w:pPr>
      <w:r>
        <w:separator/>
      </w:r>
    </w:p>
  </w:endnote>
  <w:endnote w:type="continuationSeparator" w:id="0">
    <w:p w14:paraId="358C4F4D" w14:textId="77777777" w:rsidR="00C058B3" w:rsidRDefault="00C058B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C9A87" w14:textId="77777777" w:rsidR="00C058B3" w:rsidRDefault="00C058B3" w:rsidP="009163A1">
      <w:pPr>
        <w:spacing w:after="0"/>
      </w:pPr>
      <w:r>
        <w:separator/>
      </w:r>
    </w:p>
  </w:footnote>
  <w:footnote w:type="continuationSeparator" w:id="0">
    <w:p w14:paraId="35A5C2B4" w14:textId="77777777" w:rsidR="00C058B3" w:rsidRDefault="00C058B3"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5pt;height:74.4pt" o:bullet="t">
        <v:imagedata r:id="rId1" o:title=""/>
      </v:shape>
    </w:pict>
  </w:numPicBullet>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EC3CFA"/>
    <w:multiLevelType w:val="hybridMultilevel"/>
    <w:tmpl w:val="E558176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D161D4"/>
    <w:multiLevelType w:val="hybridMultilevel"/>
    <w:tmpl w:val="A08CA87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3" w15:restartNumberingAfterBreak="0">
    <w:nsid w:val="6A1B6A31"/>
    <w:multiLevelType w:val="hybridMultilevel"/>
    <w:tmpl w:val="681A39A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1A04D7"/>
    <w:multiLevelType w:val="hybridMultilevel"/>
    <w:tmpl w:val="FAAE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6"/>
  </w:num>
  <w:num w:numId="4">
    <w:abstractNumId w:val="14"/>
  </w:num>
  <w:num w:numId="5">
    <w:abstractNumId w:val="21"/>
  </w:num>
  <w:num w:numId="6">
    <w:abstractNumId w:val="4"/>
  </w:num>
  <w:num w:numId="7">
    <w:abstractNumId w:val="11"/>
  </w:num>
  <w:num w:numId="8">
    <w:abstractNumId w:val="15"/>
  </w:num>
  <w:num w:numId="9">
    <w:abstractNumId w:val="10"/>
  </w:num>
  <w:num w:numId="10">
    <w:abstractNumId w:val="7"/>
  </w:num>
  <w:num w:numId="11">
    <w:abstractNumId w:val="5"/>
  </w:num>
  <w:num w:numId="12">
    <w:abstractNumId w:val="6"/>
    <w:lvlOverride w:ilvl="0">
      <w:startOverride w:val="1"/>
    </w:lvlOverride>
  </w:num>
  <w:num w:numId="13">
    <w:abstractNumId w:val="14"/>
    <w:lvlOverride w:ilvl="0">
      <w:startOverride w:val="1"/>
    </w:lvlOverride>
  </w:num>
  <w:num w:numId="14">
    <w:abstractNumId w:val="26"/>
  </w:num>
  <w:num w:numId="15">
    <w:abstractNumId w:val="20"/>
  </w:num>
  <w:num w:numId="16">
    <w:abstractNumId w:val="24"/>
  </w:num>
  <w:num w:numId="17">
    <w:abstractNumId w:val="12"/>
  </w:num>
  <w:num w:numId="18">
    <w:abstractNumId w:val="3"/>
  </w:num>
  <w:num w:numId="19">
    <w:abstractNumId w:val="16"/>
  </w:num>
  <w:num w:numId="20">
    <w:abstractNumId w:val="13"/>
  </w:num>
  <w:num w:numId="21">
    <w:abstractNumId w:val="0"/>
  </w:num>
  <w:num w:numId="22">
    <w:abstractNumId w:val="6"/>
    <w:lvlOverride w:ilvl="0">
      <w:startOverride w:val="1"/>
    </w:lvlOverride>
  </w:num>
  <w:num w:numId="23">
    <w:abstractNumId w:val="8"/>
  </w:num>
  <w:num w:numId="24">
    <w:abstractNumId w:val="2"/>
  </w:num>
  <w:num w:numId="25">
    <w:abstractNumId w:val="9"/>
  </w:num>
  <w:num w:numId="26">
    <w:abstractNumId w:val="17"/>
  </w:num>
  <w:num w:numId="27">
    <w:abstractNumId w:val="1"/>
  </w:num>
  <w:num w:numId="28">
    <w:abstractNumId w:val="23"/>
  </w:num>
  <w:num w:numId="29">
    <w:abstractNumId w:val="6"/>
    <w:lvlOverride w:ilvl="0">
      <w:startOverride w:val="1"/>
    </w:lvlOverride>
  </w:num>
  <w:num w:numId="30">
    <w:abstractNumId w:val="6"/>
    <w:lvlOverride w:ilvl="0">
      <w:startOverride w:val="1"/>
    </w:lvlOverride>
  </w:num>
  <w:num w:numId="31">
    <w:abstractNumId w:val="25"/>
  </w:num>
  <w:num w:numId="32">
    <w:abstractNumId w:val="6"/>
    <w:lvlOverride w:ilvl="0">
      <w:startOverride w:val="1"/>
    </w:lvlOverride>
  </w:num>
  <w:num w:numId="33">
    <w:abstractNumId w:val="18"/>
  </w:num>
  <w:num w:numId="34">
    <w:abstractNumId w:val="28"/>
  </w:num>
  <w:num w:numId="35">
    <w:abstractNumId w:val="6"/>
    <w:lvlOverride w:ilvl="0">
      <w:startOverride w:val="1"/>
    </w:lvlOverride>
  </w:num>
  <w:num w:numId="36">
    <w:abstractNumId w:val="19"/>
  </w:num>
  <w:num w:numId="37">
    <w:abstractNumId w:val="6"/>
    <w:lvlOverride w:ilvl="0">
      <w:startOverride w:val="1"/>
    </w:lvlOverride>
  </w:num>
  <w:num w:numId="38">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0653F"/>
    <w:rsid w:val="0001581F"/>
    <w:rsid w:val="00016921"/>
    <w:rsid w:val="00023489"/>
    <w:rsid w:val="0002379D"/>
    <w:rsid w:val="0003042D"/>
    <w:rsid w:val="000306CB"/>
    <w:rsid w:val="00040D83"/>
    <w:rsid w:val="0004362D"/>
    <w:rsid w:val="00047819"/>
    <w:rsid w:val="00047D52"/>
    <w:rsid w:val="00072531"/>
    <w:rsid w:val="00072B50"/>
    <w:rsid w:val="00076C6E"/>
    <w:rsid w:val="00084253"/>
    <w:rsid w:val="00086031"/>
    <w:rsid w:val="00086A1D"/>
    <w:rsid w:val="000915E7"/>
    <w:rsid w:val="000A1FCC"/>
    <w:rsid w:val="000A4806"/>
    <w:rsid w:val="000A56DE"/>
    <w:rsid w:val="000A5856"/>
    <w:rsid w:val="000A6595"/>
    <w:rsid w:val="000C1D73"/>
    <w:rsid w:val="000C5FB7"/>
    <w:rsid w:val="000C68F4"/>
    <w:rsid w:val="000C7B35"/>
    <w:rsid w:val="000D345A"/>
    <w:rsid w:val="000F0B45"/>
    <w:rsid w:val="000F20DF"/>
    <w:rsid w:val="000F5680"/>
    <w:rsid w:val="000F6E78"/>
    <w:rsid w:val="00106E4B"/>
    <w:rsid w:val="001108F8"/>
    <w:rsid w:val="00113FF0"/>
    <w:rsid w:val="001175B5"/>
    <w:rsid w:val="00125CAC"/>
    <w:rsid w:val="00136B1B"/>
    <w:rsid w:val="00141027"/>
    <w:rsid w:val="00142697"/>
    <w:rsid w:val="001439A6"/>
    <w:rsid w:val="001559BA"/>
    <w:rsid w:val="0015739F"/>
    <w:rsid w:val="00157D97"/>
    <w:rsid w:val="00170674"/>
    <w:rsid w:val="00175DD4"/>
    <w:rsid w:val="00184CD2"/>
    <w:rsid w:val="00196D54"/>
    <w:rsid w:val="001A09D0"/>
    <w:rsid w:val="001A1FB2"/>
    <w:rsid w:val="001B1E9A"/>
    <w:rsid w:val="001B38C0"/>
    <w:rsid w:val="001B4B37"/>
    <w:rsid w:val="001B7488"/>
    <w:rsid w:val="001C0189"/>
    <w:rsid w:val="001C3749"/>
    <w:rsid w:val="001C4440"/>
    <w:rsid w:val="001D0B20"/>
    <w:rsid w:val="001D54C7"/>
    <w:rsid w:val="001D5EC0"/>
    <w:rsid w:val="001D6B62"/>
    <w:rsid w:val="001E3115"/>
    <w:rsid w:val="001F0B11"/>
    <w:rsid w:val="00202B9C"/>
    <w:rsid w:val="00203B46"/>
    <w:rsid w:val="00204E15"/>
    <w:rsid w:val="00214DBD"/>
    <w:rsid w:val="00221897"/>
    <w:rsid w:val="00222181"/>
    <w:rsid w:val="00222491"/>
    <w:rsid w:val="002232CE"/>
    <w:rsid w:val="00223345"/>
    <w:rsid w:val="00236AEE"/>
    <w:rsid w:val="00247998"/>
    <w:rsid w:val="002517E4"/>
    <w:rsid w:val="0025198E"/>
    <w:rsid w:val="00254E94"/>
    <w:rsid w:val="00256403"/>
    <w:rsid w:val="0026337D"/>
    <w:rsid w:val="00264A2C"/>
    <w:rsid w:val="00266441"/>
    <w:rsid w:val="0026679C"/>
    <w:rsid w:val="00274204"/>
    <w:rsid w:val="0027571A"/>
    <w:rsid w:val="0028155C"/>
    <w:rsid w:val="0029153F"/>
    <w:rsid w:val="002928C5"/>
    <w:rsid w:val="002936D6"/>
    <w:rsid w:val="002A00F4"/>
    <w:rsid w:val="002C6722"/>
    <w:rsid w:val="002C7212"/>
    <w:rsid w:val="002D17FD"/>
    <w:rsid w:val="002D2BF4"/>
    <w:rsid w:val="002D7CE2"/>
    <w:rsid w:val="002E2F7D"/>
    <w:rsid w:val="002F2196"/>
    <w:rsid w:val="002F4BA9"/>
    <w:rsid w:val="002F6122"/>
    <w:rsid w:val="00300084"/>
    <w:rsid w:val="0031005C"/>
    <w:rsid w:val="00312EDF"/>
    <w:rsid w:val="00313D24"/>
    <w:rsid w:val="00314027"/>
    <w:rsid w:val="00322769"/>
    <w:rsid w:val="00327B16"/>
    <w:rsid w:val="00332A2F"/>
    <w:rsid w:val="003347BD"/>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515"/>
    <w:rsid w:val="0038762B"/>
    <w:rsid w:val="00390076"/>
    <w:rsid w:val="00394F1A"/>
    <w:rsid w:val="003955D1"/>
    <w:rsid w:val="00395B59"/>
    <w:rsid w:val="00396C7C"/>
    <w:rsid w:val="003A44C5"/>
    <w:rsid w:val="003A518C"/>
    <w:rsid w:val="003B1587"/>
    <w:rsid w:val="003B4B96"/>
    <w:rsid w:val="003C2692"/>
    <w:rsid w:val="003C5DE9"/>
    <w:rsid w:val="003D2ECA"/>
    <w:rsid w:val="003E6D10"/>
    <w:rsid w:val="003E7958"/>
    <w:rsid w:val="003F1B39"/>
    <w:rsid w:val="003F4E35"/>
    <w:rsid w:val="003F62CB"/>
    <w:rsid w:val="003F6C0B"/>
    <w:rsid w:val="003F7093"/>
    <w:rsid w:val="00401A10"/>
    <w:rsid w:val="00407264"/>
    <w:rsid w:val="00410045"/>
    <w:rsid w:val="0041094E"/>
    <w:rsid w:val="00412CFF"/>
    <w:rsid w:val="00415444"/>
    <w:rsid w:val="00416BDF"/>
    <w:rsid w:val="00430809"/>
    <w:rsid w:val="004308FF"/>
    <w:rsid w:val="0043491A"/>
    <w:rsid w:val="004353D8"/>
    <w:rsid w:val="00435829"/>
    <w:rsid w:val="00452050"/>
    <w:rsid w:val="0045261D"/>
    <w:rsid w:val="00452A90"/>
    <w:rsid w:val="004575B7"/>
    <w:rsid w:val="004750C1"/>
    <w:rsid w:val="00475736"/>
    <w:rsid w:val="00476CFC"/>
    <w:rsid w:val="00481B5B"/>
    <w:rsid w:val="004842BC"/>
    <w:rsid w:val="00485636"/>
    <w:rsid w:val="00491B2D"/>
    <w:rsid w:val="004A067A"/>
    <w:rsid w:val="004B0938"/>
    <w:rsid w:val="004B25B2"/>
    <w:rsid w:val="004C3767"/>
    <w:rsid w:val="004C393C"/>
    <w:rsid w:val="004C515A"/>
    <w:rsid w:val="004C5592"/>
    <w:rsid w:val="004C607D"/>
    <w:rsid w:val="004C739A"/>
    <w:rsid w:val="004D1D41"/>
    <w:rsid w:val="004D74A1"/>
    <w:rsid w:val="004D76A4"/>
    <w:rsid w:val="004E31ED"/>
    <w:rsid w:val="004E4A5E"/>
    <w:rsid w:val="004F4433"/>
    <w:rsid w:val="004F476C"/>
    <w:rsid w:val="004F61E8"/>
    <w:rsid w:val="004F6B7A"/>
    <w:rsid w:val="00503B2B"/>
    <w:rsid w:val="00517C7B"/>
    <w:rsid w:val="00520D28"/>
    <w:rsid w:val="00522BD8"/>
    <w:rsid w:val="00523DB3"/>
    <w:rsid w:val="00525EDA"/>
    <w:rsid w:val="00526407"/>
    <w:rsid w:val="0052662F"/>
    <w:rsid w:val="00526EB5"/>
    <w:rsid w:val="005303A3"/>
    <w:rsid w:val="00532969"/>
    <w:rsid w:val="00550FA9"/>
    <w:rsid w:val="005520EE"/>
    <w:rsid w:val="00553E20"/>
    <w:rsid w:val="00557704"/>
    <w:rsid w:val="00560F1D"/>
    <w:rsid w:val="00561B54"/>
    <w:rsid w:val="00575DF2"/>
    <w:rsid w:val="00576D52"/>
    <w:rsid w:val="00577917"/>
    <w:rsid w:val="00583DF4"/>
    <w:rsid w:val="005930B2"/>
    <w:rsid w:val="005B0251"/>
    <w:rsid w:val="005B1A8C"/>
    <w:rsid w:val="005B3B3E"/>
    <w:rsid w:val="005C3579"/>
    <w:rsid w:val="005C3888"/>
    <w:rsid w:val="005D0C23"/>
    <w:rsid w:val="005D1843"/>
    <w:rsid w:val="005D7B80"/>
    <w:rsid w:val="005D7F6A"/>
    <w:rsid w:val="005E0EAC"/>
    <w:rsid w:val="005E6131"/>
    <w:rsid w:val="005F3786"/>
    <w:rsid w:val="00616955"/>
    <w:rsid w:val="00624A59"/>
    <w:rsid w:val="00626C53"/>
    <w:rsid w:val="00632285"/>
    <w:rsid w:val="0063536C"/>
    <w:rsid w:val="00637807"/>
    <w:rsid w:val="00650955"/>
    <w:rsid w:val="006529DC"/>
    <w:rsid w:val="006551CC"/>
    <w:rsid w:val="006654A8"/>
    <w:rsid w:val="006660C7"/>
    <w:rsid w:val="0068409E"/>
    <w:rsid w:val="00684BFD"/>
    <w:rsid w:val="006868DB"/>
    <w:rsid w:val="006948DF"/>
    <w:rsid w:val="00696F35"/>
    <w:rsid w:val="006A5212"/>
    <w:rsid w:val="006A6EA3"/>
    <w:rsid w:val="006B12C7"/>
    <w:rsid w:val="006B3B45"/>
    <w:rsid w:val="006B64A3"/>
    <w:rsid w:val="006B7BB4"/>
    <w:rsid w:val="006C6F4B"/>
    <w:rsid w:val="006C7B9D"/>
    <w:rsid w:val="006E2A89"/>
    <w:rsid w:val="006F268A"/>
    <w:rsid w:val="007054F0"/>
    <w:rsid w:val="007065D1"/>
    <w:rsid w:val="00710B70"/>
    <w:rsid w:val="00710F64"/>
    <w:rsid w:val="00714D85"/>
    <w:rsid w:val="00716D1B"/>
    <w:rsid w:val="0072378A"/>
    <w:rsid w:val="00723859"/>
    <w:rsid w:val="00724F2D"/>
    <w:rsid w:val="0072727D"/>
    <w:rsid w:val="007322C6"/>
    <w:rsid w:val="00733272"/>
    <w:rsid w:val="0073685B"/>
    <w:rsid w:val="00744FBF"/>
    <w:rsid w:val="0074654E"/>
    <w:rsid w:val="00750013"/>
    <w:rsid w:val="0075117E"/>
    <w:rsid w:val="007552D4"/>
    <w:rsid w:val="00755E84"/>
    <w:rsid w:val="00762132"/>
    <w:rsid w:val="0076674F"/>
    <w:rsid w:val="00767B27"/>
    <w:rsid w:val="00775C27"/>
    <w:rsid w:val="007808BE"/>
    <w:rsid w:val="00781D48"/>
    <w:rsid w:val="00786759"/>
    <w:rsid w:val="00791361"/>
    <w:rsid w:val="007970AF"/>
    <w:rsid w:val="007A2BA7"/>
    <w:rsid w:val="007B61F6"/>
    <w:rsid w:val="007C404F"/>
    <w:rsid w:val="007C4349"/>
    <w:rsid w:val="007C6200"/>
    <w:rsid w:val="007D0023"/>
    <w:rsid w:val="007D020D"/>
    <w:rsid w:val="007D050C"/>
    <w:rsid w:val="007D2632"/>
    <w:rsid w:val="007D6D0D"/>
    <w:rsid w:val="007D6DC7"/>
    <w:rsid w:val="007E0D78"/>
    <w:rsid w:val="007E26E7"/>
    <w:rsid w:val="007E6E59"/>
    <w:rsid w:val="007E7702"/>
    <w:rsid w:val="007F3D5E"/>
    <w:rsid w:val="007F5AAA"/>
    <w:rsid w:val="007F6767"/>
    <w:rsid w:val="00804C38"/>
    <w:rsid w:val="00810CF0"/>
    <w:rsid w:val="00816459"/>
    <w:rsid w:val="00821440"/>
    <w:rsid w:val="0082437D"/>
    <w:rsid w:val="00824BA0"/>
    <w:rsid w:val="00825BC9"/>
    <w:rsid w:val="0083678C"/>
    <w:rsid w:val="008372E4"/>
    <w:rsid w:val="00846F6F"/>
    <w:rsid w:val="0084779A"/>
    <w:rsid w:val="00847B68"/>
    <w:rsid w:val="00857EA4"/>
    <w:rsid w:val="008664AE"/>
    <w:rsid w:val="008727FE"/>
    <w:rsid w:val="00872EDD"/>
    <w:rsid w:val="00874ED9"/>
    <w:rsid w:val="00876136"/>
    <w:rsid w:val="00881B4B"/>
    <w:rsid w:val="00894F29"/>
    <w:rsid w:val="008A732B"/>
    <w:rsid w:val="008A7439"/>
    <w:rsid w:val="008C70FA"/>
    <w:rsid w:val="008D60D0"/>
    <w:rsid w:val="008D6925"/>
    <w:rsid w:val="008E0C69"/>
    <w:rsid w:val="008E2E9E"/>
    <w:rsid w:val="008E670F"/>
    <w:rsid w:val="00902B8D"/>
    <w:rsid w:val="00903F6A"/>
    <w:rsid w:val="00910DCD"/>
    <w:rsid w:val="00915630"/>
    <w:rsid w:val="009163A1"/>
    <w:rsid w:val="00920FFB"/>
    <w:rsid w:val="00922714"/>
    <w:rsid w:val="00931E57"/>
    <w:rsid w:val="009342E2"/>
    <w:rsid w:val="00943BF2"/>
    <w:rsid w:val="009466A7"/>
    <w:rsid w:val="009521C3"/>
    <w:rsid w:val="0095517A"/>
    <w:rsid w:val="00955313"/>
    <w:rsid w:val="009557F1"/>
    <w:rsid w:val="009614E1"/>
    <w:rsid w:val="00977865"/>
    <w:rsid w:val="00981E4A"/>
    <w:rsid w:val="00984EDF"/>
    <w:rsid w:val="00986589"/>
    <w:rsid w:val="00995559"/>
    <w:rsid w:val="0099790B"/>
    <w:rsid w:val="009A0F65"/>
    <w:rsid w:val="009A6B60"/>
    <w:rsid w:val="009B3709"/>
    <w:rsid w:val="009B3767"/>
    <w:rsid w:val="009B553C"/>
    <w:rsid w:val="009C17B0"/>
    <w:rsid w:val="009C1CE9"/>
    <w:rsid w:val="009C2E19"/>
    <w:rsid w:val="009C415D"/>
    <w:rsid w:val="009D568F"/>
    <w:rsid w:val="009D7801"/>
    <w:rsid w:val="009D78C8"/>
    <w:rsid w:val="009E16B6"/>
    <w:rsid w:val="009E4EFB"/>
    <w:rsid w:val="009E724D"/>
    <w:rsid w:val="009F4FCC"/>
    <w:rsid w:val="00A00C53"/>
    <w:rsid w:val="00A00CDD"/>
    <w:rsid w:val="00A04A52"/>
    <w:rsid w:val="00A1234D"/>
    <w:rsid w:val="00A123A9"/>
    <w:rsid w:val="00A206C6"/>
    <w:rsid w:val="00A217B8"/>
    <w:rsid w:val="00A22FCF"/>
    <w:rsid w:val="00A3245F"/>
    <w:rsid w:val="00A3536B"/>
    <w:rsid w:val="00A4708B"/>
    <w:rsid w:val="00A57DD5"/>
    <w:rsid w:val="00A62D36"/>
    <w:rsid w:val="00A64ABC"/>
    <w:rsid w:val="00A6690E"/>
    <w:rsid w:val="00A70F98"/>
    <w:rsid w:val="00A73ABD"/>
    <w:rsid w:val="00A76C16"/>
    <w:rsid w:val="00A80BB8"/>
    <w:rsid w:val="00A85837"/>
    <w:rsid w:val="00A85D49"/>
    <w:rsid w:val="00A9559C"/>
    <w:rsid w:val="00AA0AC2"/>
    <w:rsid w:val="00AA3E3D"/>
    <w:rsid w:val="00AA488B"/>
    <w:rsid w:val="00AB0FC5"/>
    <w:rsid w:val="00AB6948"/>
    <w:rsid w:val="00AB72E3"/>
    <w:rsid w:val="00AC461A"/>
    <w:rsid w:val="00AC5345"/>
    <w:rsid w:val="00AC57B2"/>
    <w:rsid w:val="00AC5CD4"/>
    <w:rsid w:val="00AD29F8"/>
    <w:rsid w:val="00AD639E"/>
    <w:rsid w:val="00AE340E"/>
    <w:rsid w:val="00AF5146"/>
    <w:rsid w:val="00AF7A6A"/>
    <w:rsid w:val="00B131DF"/>
    <w:rsid w:val="00B30C97"/>
    <w:rsid w:val="00B32401"/>
    <w:rsid w:val="00B400F5"/>
    <w:rsid w:val="00B45683"/>
    <w:rsid w:val="00B505EB"/>
    <w:rsid w:val="00B5207A"/>
    <w:rsid w:val="00B53662"/>
    <w:rsid w:val="00B57083"/>
    <w:rsid w:val="00B57BBD"/>
    <w:rsid w:val="00B64841"/>
    <w:rsid w:val="00B6490F"/>
    <w:rsid w:val="00B65CD0"/>
    <w:rsid w:val="00B759EA"/>
    <w:rsid w:val="00B77DAE"/>
    <w:rsid w:val="00B77F2E"/>
    <w:rsid w:val="00B90905"/>
    <w:rsid w:val="00B9176E"/>
    <w:rsid w:val="00B93693"/>
    <w:rsid w:val="00B9392A"/>
    <w:rsid w:val="00B94CEC"/>
    <w:rsid w:val="00B96CFF"/>
    <w:rsid w:val="00BA0D01"/>
    <w:rsid w:val="00BA204D"/>
    <w:rsid w:val="00BA225F"/>
    <w:rsid w:val="00BA7304"/>
    <w:rsid w:val="00BB4906"/>
    <w:rsid w:val="00BC014F"/>
    <w:rsid w:val="00BC180C"/>
    <w:rsid w:val="00BC4DE3"/>
    <w:rsid w:val="00BC6284"/>
    <w:rsid w:val="00BC7482"/>
    <w:rsid w:val="00BD0EAE"/>
    <w:rsid w:val="00BD34D5"/>
    <w:rsid w:val="00BD37CB"/>
    <w:rsid w:val="00BD4737"/>
    <w:rsid w:val="00BD680A"/>
    <w:rsid w:val="00BD6A04"/>
    <w:rsid w:val="00BE30EC"/>
    <w:rsid w:val="00BE75FF"/>
    <w:rsid w:val="00C006CD"/>
    <w:rsid w:val="00C058B3"/>
    <w:rsid w:val="00C06889"/>
    <w:rsid w:val="00C10C57"/>
    <w:rsid w:val="00C15094"/>
    <w:rsid w:val="00C3527A"/>
    <w:rsid w:val="00C40747"/>
    <w:rsid w:val="00C4297C"/>
    <w:rsid w:val="00C4363B"/>
    <w:rsid w:val="00C43A6E"/>
    <w:rsid w:val="00C44D88"/>
    <w:rsid w:val="00C44DAE"/>
    <w:rsid w:val="00C51D3D"/>
    <w:rsid w:val="00C55A77"/>
    <w:rsid w:val="00C57746"/>
    <w:rsid w:val="00C663FA"/>
    <w:rsid w:val="00C71D5F"/>
    <w:rsid w:val="00C75E49"/>
    <w:rsid w:val="00C76055"/>
    <w:rsid w:val="00C77126"/>
    <w:rsid w:val="00C94719"/>
    <w:rsid w:val="00C9778E"/>
    <w:rsid w:val="00CA00E0"/>
    <w:rsid w:val="00CA08C6"/>
    <w:rsid w:val="00CA12E9"/>
    <w:rsid w:val="00CB0434"/>
    <w:rsid w:val="00CB2CCF"/>
    <w:rsid w:val="00CB4AD4"/>
    <w:rsid w:val="00CB4E1F"/>
    <w:rsid w:val="00CB5BC2"/>
    <w:rsid w:val="00CC519B"/>
    <w:rsid w:val="00CD00BE"/>
    <w:rsid w:val="00CD2D65"/>
    <w:rsid w:val="00CD38EA"/>
    <w:rsid w:val="00CD4EA3"/>
    <w:rsid w:val="00CD688D"/>
    <w:rsid w:val="00CD7A7A"/>
    <w:rsid w:val="00CE1C90"/>
    <w:rsid w:val="00CE24F3"/>
    <w:rsid w:val="00CE2DD4"/>
    <w:rsid w:val="00CF17A5"/>
    <w:rsid w:val="00CF4E89"/>
    <w:rsid w:val="00CF77FF"/>
    <w:rsid w:val="00D010A6"/>
    <w:rsid w:val="00D13468"/>
    <w:rsid w:val="00D13527"/>
    <w:rsid w:val="00D14BDA"/>
    <w:rsid w:val="00D14F0F"/>
    <w:rsid w:val="00D15CCE"/>
    <w:rsid w:val="00D23AC2"/>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4D75"/>
    <w:rsid w:val="00D87106"/>
    <w:rsid w:val="00D90964"/>
    <w:rsid w:val="00D92189"/>
    <w:rsid w:val="00D95572"/>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6D10"/>
    <w:rsid w:val="00DD70E0"/>
    <w:rsid w:val="00DD7135"/>
    <w:rsid w:val="00DE0511"/>
    <w:rsid w:val="00DE26CF"/>
    <w:rsid w:val="00DE7D7A"/>
    <w:rsid w:val="00DF2FBF"/>
    <w:rsid w:val="00E105F6"/>
    <w:rsid w:val="00E10604"/>
    <w:rsid w:val="00E14775"/>
    <w:rsid w:val="00E23903"/>
    <w:rsid w:val="00E25220"/>
    <w:rsid w:val="00E30DDC"/>
    <w:rsid w:val="00E375A2"/>
    <w:rsid w:val="00E42799"/>
    <w:rsid w:val="00E504C1"/>
    <w:rsid w:val="00E52409"/>
    <w:rsid w:val="00E54304"/>
    <w:rsid w:val="00E57A0C"/>
    <w:rsid w:val="00E64CE9"/>
    <w:rsid w:val="00E6511D"/>
    <w:rsid w:val="00E65CE8"/>
    <w:rsid w:val="00E77C55"/>
    <w:rsid w:val="00E77E8A"/>
    <w:rsid w:val="00E8060F"/>
    <w:rsid w:val="00E8582B"/>
    <w:rsid w:val="00E86FD6"/>
    <w:rsid w:val="00E91177"/>
    <w:rsid w:val="00E94694"/>
    <w:rsid w:val="00E9789C"/>
    <w:rsid w:val="00EA44E3"/>
    <w:rsid w:val="00EA4BD4"/>
    <w:rsid w:val="00EB059A"/>
    <w:rsid w:val="00EB4124"/>
    <w:rsid w:val="00EB5043"/>
    <w:rsid w:val="00EB72E6"/>
    <w:rsid w:val="00EC7ECD"/>
    <w:rsid w:val="00ED077D"/>
    <w:rsid w:val="00ED7D94"/>
    <w:rsid w:val="00EE1B16"/>
    <w:rsid w:val="00EE4577"/>
    <w:rsid w:val="00EE51E0"/>
    <w:rsid w:val="00EF0103"/>
    <w:rsid w:val="00EF27CF"/>
    <w:rsid w:val="00EF2C83"/>
    <w:rsid w:val="00EF731D"/>
    <w:rsid w:val="00F02CA1"/>
    <w:rsid w:val="00F031CC"/>
    <w:rsid w:val="00F05C59"/>
    <w:rsid w:val="00F11165"/>
    <w:rsid w:val="00F12203"/>
    <w:rsid w:val="00F126C1"/>
    <w:rsid w:val="00F12E3B"/>
    <w:rsid w:val="00F14EA8"/>
    <w:rsid w:val="00F17E00"/>
    <w:rsid w:val="00F205BC"/>
    <w:rsid w:val="00F20EB8"/>
    <w:rsid w:val="00F222B8"/>
    <w:rsid w:val="00F237C2"/>
    <w:rsid w:val="00F24014"/>
    <w:rsid w:val="00F242C4"/>
    <w:rsid w:val="00F30523"/>
    <w:rsid w:val="00F40AEF"/>
    <w:rsid w:val="00F450A0"/>
    <w:rsid w:val="00F462DF"/>
    <w:rsid w:val="00F50497"/>
    <w:rsid w:val="00F539C3"/>
    <w:rsid w:val="00F568B5"/>
    <w:rsid w:val="00F607D8"/>
    <w:rsid w:val="00F63240"/>
    <w:rsid w:val="00F7182A"/>
    <w:rsid w:val="00F74CCD"/>
    <w:rsid w:val="00F92DD5"/>
    <w:rsid w:val="00F97713"/>
    <w:rsid w:val="00FA7696"/>
    <w:rsid w:val="00FB0087"/>
    <w:rsid w:val="00FB172E"/>
    <w:rsid w:val="00FB5658"/>
    <w:rsid w:val="00FC34C6"/>
    <w:rsid w:val="00FD4842"/>
    <w:rsid w:val="00FD48B9"/>
    <w:rsid w:val="00FD5ADC"/>
    <w:rsid w:val="00FE0347"/>
    <w:rsid w:val="00FE1AEA"/>
    <w:rsid w:val="00FE6330"/>
    <w:rsid w:val="00FF0CF2"/>
    <w:rsid w:val="00FF14F1"/>
    <w:rsid w:val="00FF14FB"/>
    <w:rsid w:val="00FF4092"/>
    <w:rsid w:val="00FF42A4"/>
    <w:rsid w:val="00FF56D9"/>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B8C77"/>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200"/>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7F5AAA"/>
    <w:rPr>
      <w:sz w:val="21"/>
      <w:szCs w:val="21"/>
    </w:rPr>
  </w:style>
  <w:style w:type="paragraph" w:styleId="af4">
    <w:name w:val="annotation text"/>
    <w:basedOn w:val="a"/>
    <w:link w:val="Char7"/>
    <w:uiPriority w:val="99"/>
    <w:semiHidden/>
    <w:unhideWhenUsed/>
    <w:rsid w:val="007F5AAA"/>
  </w:style>
  <w:style w:type="character" w:customStyle="1" w:styleId="Char7">
    <w:name w:val="批注文字 Char"/>
    <w:basedOn w:val="a0"/>
    <w:link w:val="af4"/>
    <w:uiPriority w:val="99"/>
    <w:semiHidden/>
    <w:rsid w:val="007F5AAA"/>
    <w:rPr>
      <w:rFonts w:ascii="Times New Roman" w:hAnsi="Times New Roman"/>
      <w:lang w:val="en-GB" w:eastAsia="en-US"/>
    </w:rPr>
  </w:style>
  <w:style w:type="paragraph" w:styleId="af5">
    <w:name w:val="annotation subject"/>
    <w:basedOn w:val="af4"/>
    <w:next w:val="af4"/>
    <w:link w:val="Char8"/>
    <w:uiPriority w:val="99"/>
    <w:semiHidden/>
    <w:unhideWhenUsed/>
    <w:rsid w:val="007F5AAA"/>
    <w:rPr>
      <w:b/>
      <w:bCs/>
    </w:rPr>
  </w:style>
  <w:style w:type="character" w:customStyle="1" w:styleId="Char8">
    <w:name w:val="批注主题 Char"/>
    <w:basedOn w:val="Char7"/>
    <w:link w:val="af5"/>
    <w:uiPriority w:val="99"/>
    <w:semiHidden/>
    <w:rsid w:val="007F5AAA"/>
    <w:rPr>
      <w:rFonts w:ascii="Times New Roman" w:hAnsi="Times New Roman"/>
      <w:b/>
      <w:bCs/>
      <w:lang w:val="en-GB" w:eastAsia="en-US"/>
    </w:rPr>
  </w:style>
  <w:style w:type="table" w:customStyle="1" w:styleId="20">
    <w:name w:val="网格型2"/>
    <w:basedOn w:val="a1"/>
    <w:next w:val="ae"/>
    <w:qFormat/>
    <w:rsid w:val="00203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0F5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1994535">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3275952">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65399045">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3846063">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38885252">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096286772">
      <w:bodyDiv w:val="1"/>
      <w:marLeft w:val="0"/>
      <w:marRight w:val="0"/>
      <w:marTop w:val="0"/>
      <w:marBottom w:val="0"/>
      <w:divBdr>
        <w:top w:val="none" w:sz="0" w:space="0" w:color="auto"/>
        <w:left w:val="none" w:sz="0" w:space="0" w:color="auto"/>
        <w:bottom w:val="none" w:sz="0" w:space="0" w:color="auto"/>
        <w:right w:val="none" w:sz="0" w:space="0" w:color="auto"/>
      </w:divBdr>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24857991">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85554818">
      <w:bodyDiv w:val="1"/>
      <w:marLeft w:val="0"/>
      <w:marRight w:val="0"/>
      <w:marTop w:val="0"/>
      <w:marBottom w:val="0"/>
      <w:divBdr>
        <w:top w:val="none" w:sz="0" w:space="0" w:color="auto"/>
        <w:left w:val="none" w:sz="0" w:space="0" w:color="auto"/>
        <w:bottom w:val="none" w:sz="0" w:space="0" w:color="auto"/>
        <w:right w:val="none" w:sz="0" w:space="0" w:color="auto"/>
      </w:divBdr>
      <w:divsChild>
        <w:div w:id="2077703301">
          <w:marLeft w:val="547"/>
          <w:marRight w:val="0"/>
          <w:marTop w:val="0"/>
          <w:marBottom w:val="0"/>
          <w:divBdr>
            <w:top w:val="none" w:sz="0" w:space="0" w:color="auto"/>
            <w:left w:val="none" w:sz="0" w:space="0" w:color="auto"/>
            <w:bottom w:val="none" w:sz="0" w:space="0" w:color="auto"/>
            <w:right w:val="none" w:sz="0" w:space="0" w:color="auto"/>
          </w:divBdr>
        </w:div>
        <w:div w:id="1493788158">
          <w:marLeft w:val="547"/>
          <w:marRight w:val="0"/>
          <w:marTop w:val="0"/>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68898192">
      <w:bodyDiv w:val="1"/>
      <w:marLeft w:val="0"/>
      <w:marRight w:val="0"/>
      <w:marTop w:val="0"/>
      <w:marBottom w:val="0"/>
      <w:divBdr>
        <w:top w:val="none" w:sz="0" w:space="0" w:color="auto"/>
        <w:left w:val="none" w:sz="0" w:space="0" w:color="auto"/>
        <w:bottom w:val="none" w:sz="0" w:space="0" w:color="auto"/>
        <w:right w:val="none" w:sz="0" w:space="0" w:color="auto"/>
      </w:divBdr>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8E0D9-95E1-4B04-AEEC-71A659830FEB}">
  <ds:schemaRefs/>
</ds:datastoreItem>
</file>

<file path=customXml/itemProps2.xml><?xml version="1.0" encoding="utf-8"?>
<ds:datastoreItem xmlns:ds="http://schemas.openxmlformats.org/officeDocument/2006/customXml" ds:itemID="{4F52D7D0-A8E6-4F66-9B3F-0BDF595A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473</TotalTime>
  <Pages>4</Pages>
  <Words>1183</Words>
  <Characters>6744</Characters>
  <Application>Microsoft Office Word</Application>
  <DocSecurity>0</DocSecurity>
  <Lines>56</Lines>
  <Paragraphs>15</Paragraphs>
  <ScaleCrop>false</ScaleCrop>
  <Company>Huawei Technologies Co.,Ltd.</Company>
  <LinksUpToDate>false</LinksUpToDate>
  <CharactersWithSpaces>7912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cp:revision>
  <dcterms:created xsi:type="dcterms:W3CDTF">2022-01-07T08:37:00Z</dcterms:created>
  <dcterms:modified xsi:type="dcterms:W3CDTF">2022-08-10T16:38:00Z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(3)vaFw6LQKdJJYqmyA7pdgKpzWfNV0gvVAWmD+6WTSAabJdhJDo6nmu/M+SlN2E9C9EhLQ3pQ1
LSWYxc7eVK2XHnK1hA2xJY+dYkFNf5Ysaol16ONoMDRRqh3KqfzcIZXt7iQA4FBt41pCez2t
V3A8rwtyfkWjfK+dF0HPH31Wyavwz0JYZLRW+kf3jaYU9FcKx3+jSUk8h8XmPUmFPH6gLAI9
gPfzBf6MrBByh3C3Ju</vt:lpwstr>
  </property>
  <property fmtid="{D5CDD505-2E9C-101B-9397-08002B2CF9AE}" pid="3" name="_2015_ms_pID_7253431">
    <vt:lpwstr>gpOqo+YYCpCjGfkgxnWon1uKxfaIxGrkM0Hn6OQIi82ZmZ33FVAyfc
82FJ+sRg5PB6M8bD9o0zPNkafwIHGexwiEMHSeOWo8G9FKHovxeMOyp96mFaeTStKVbKfHVm
uo6ygXQ72qpmRPnRlGcgytYr5vOu/a6n3JzUt7JbjxfAWr6ikAzjdOlWxf6QBqwJdyzCd6lc
tzgp62vvdpJ4s1nvDVYKlpIJoBhtQdidELMh</vt:lpwstr>
  </property>
  <property fmtid="{D5CDD505-2E9C-101B-9397-08002B2CF9AE}" pid="4" name="_2015_ms_pID_7253432">
    <vt:lpwstr>kXGxVVBkBISYfAvtVFEBYQs=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1660149513</vt:lpwstr>
  </property>
</Properties>
</file>